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Ind w:w="0" w:type="dxa"/>
        <w:tblBorders>
          <w:bottom w:val="single" w:sz="24" w:space="0" w:color="auto"/>
        </w:tblBorders>
        <w:tblLayout w:type="fixed"/>
        <w:tblLook w:val="0000" w:firstRow="0" w:lastRow="0" w:firstColumn="0" w:lastColumn="0" w:noHBand="0" w:noVBand="0"/>
      </w:tblPr>
      <w:tblGrid>
        <w:gridCol w:w="8845"/>
      </w:tblGrid>
      <w:tr w:rsidR="00E55D14">
        <w:trPr>
          <w:trHeight w:val="2012"/>
          <w:jc w:val="center"/>
        </w:trPr>
        <w:tc>
          <w:tcPr>
            <w:tcW w:w="8845" w:type="dxa"/>
          </w:tcPr>
          <w:p w:rsidR="00E55D14" w:rsidRDefault="00E55D14">
            <w:pPr>
              <w:rPr>
                <w:rFonts w:hint="eastAsia"/>
              </w:rPr>
            </w:pPr>
            <w:bookmarkStart w:id="0" w:name="OLE_LINK2"/>
            <w:bookmarkStart w:id="1" w:name="OLE_LINK3"/>
            <w:bookmarkStart w:id="2" w:name="_GoBack"/>
            <w:bookmarkEnd w:id="2"/>
          </w:p>
        </w:tc>
      </w:tr>
      <w:tr w:rsidR="00E55D14">
        <w:trPr>
          <w:trHeight w:hRule="exact" w:val="1134"/>
          <w:jc w:val="center"/>
        </w:trPr>
        <w:tc>
          <w:tcPr>
            <w:tcW w:w="8845" w:type="dxa"/>
            <w:tcBorders>
              <w:bottom w:val="nil"/>
            </w:tcBorders>
          </w:tcPr>
          <w:p w:rsidR="00E55D14" w:rsidRDefault="00E55D14">
            <w:pPr>
              <w:tabs>
                <w:tab w:val="center" w:pos="4543"/>
              </w:tabs>
              <w:spacing w:line="1100" w:lineRule="exact"/>
              <w:jc w:val="center"/>
              <w:rPr>
                <w:rFonts w:ascii="宋体" w:hAnsi="宋体"/>
                <w:b/>
                <w:color w:val="FF0000"/>
                <w:w w:val="68"/>
                <w:sz w:val="104"/>
                <w:szCs w:val="104"/>
              </w:rPr>
            </w:pPr>
            <w:r>
              <w:rPr>
                <w:rFonts w:ascii="宋体" w:hAnsi="宋体" w:hint="eastAsia"/>
                <w:b/>
                <w:color w:val="FF0000"/>
                <w:spacing w:val="120"/>
                <w:w w:val="68"/>
                <w:sz w:val="104"/>
                <w:szCs w:val="104"/>
              </w:rPr>
              <w:t>华南农业大学文</w:t>
            </w:r>
            <w:r>
              <w:rPr>
                <w:rFonts w:ascii="宋体" w:hAnsi="宋体" w:hint="eastAsia"/>
                <w:b/>
                <w:color w:val="FF0000"/>
                <w:w w:val="68"/>
                <w:sz w:val="104"/>
                <w:szCs w:val="104"/>
              </w:rPr>
              <w:t>件</w:t>
            </w:r>
          </w:p>
        </w:tc>
      </w:tr>
      <w:tr w:rsidR="00E55D14">
        <w:trPr>
          <w:trHeight w:val="1479"/>
          <w:jc w:val="center"/>
        </w:trPr>
        <w:tc>
          <w:tcPr>
            <w:tcW w:w="8845" w:type="dxa"/>
            <w:tcBorders>
              <w:bottom w:val="single" w:sz="18" w:space="0" w:color="FF0000"/>
            </w:tcBorders>
          </w:tcPr>
          <w:p w:rsidR="00E55D14" w:rsidRDefault="00E55D14">
            <w:pPr>
              <w:spacing w:line="560" w:lineRule="exact"/>
              <w:jc w:val="center"/>
              <w:rPr>
                <w:rFonts w:ascii="仿宋_GB2312" w:eastAsia="仿宋_GB2312"/>
                <w:sz w:val="32"/>
              </w:rPr>
            </w:pPr>
          </w:p>
          <w:p w:rsidR="00E55D14" w:rsidRDefault="00E55D14">
            <w:pPr>
              <w:spacing w:line="560" w:lineRule="exact"/>
              <w:jc w:val="center"/>
              <w:rPr>
                <w:rFonts w:ascii="仿宋_GB2312" w:eastAsia="仿宋_GB2312"/>
                <w:sz w:val="32"/>
              </w:rPr>
            </w:pPr>
            <w:r>
              <w:rPr>
                <w:rFonts w:ascii="仿宋_GB2312" w:eastAsia="仿宋_GB2312" w:hint="eastAsia"/>
                <w:sz w:val="32"/>
              </w:rPr>
              <w:t>华南农办〔</w:t>
            </w:r>
            <w:r>
              <w:rPr>
                <w:rFonts w:eastAsia="仿宋_GB2312"/>
                <w:sz w:val="32"/>
              </w:rPr>
              <w:t>2019</w:t>
            </w:r>
            <w:r>
              <w:rPr>
                <w:rFonts w:ascii="仿宋_GB2312" w:eastAsia="仿宋_GB2312" w:hint="eastAsia"/>
                <w:sz w:val="32"/>
              </w:rPr>
              <w:t>〕</w:t>
            </w:r>
            <w:r>
              <w:rPr>
                <w:rFonts w:eastAsia="仿宋_GB2312"/>
                <w:sz w:val="32"/>
              </w:rPr>
              <w:t>52</w:t>
            </w:r>
            <w:r>
              <w:rPr>
                <w:rFonts w:ascii="仿宋_GB2312" w:eastAsia="仿宋_GB2312" w:hint="eastAsia"/>
                <w:sz w:val="32"/>
              </w:rPr>
              <w:t>号</w:t>
            </w:r>
          </w:p>
        </w:tc>
      </w:tr>
    </w:tbl>
    <w:p w:rsidR="00E55D14" w:rsidRDefault="00E55D14">
      <w:pPr>
        <w:ind w:right="420"/>
      </w:pPr>
    </w:p>
    <w:bookmarkEnd w:id="0"/>
    <w:bookmarkEnd w:id="1"/>
    <w:p w:rsidR="00E55D14" w:rsidRDefault="00E55D14">
      <w:pPr>
        <w:spacing w:line="720" w:lineRule="exact"/>
        <w:jc w:val="center"/>
        <w:rPr>
          <w:rFonts w:ascii="宋体" w:hAnsi="宋体"/>
          <w:b/>
          <w:sz w:val="44"/>
          <w:szCs w:val="44"/>
        </w:rPr>
      </w:pPr>
      <w:r>
        <w:rPr>
          <w:rFonts w:ascii="宋体" w:hAnsi="宋体" w:hint="eastAsia"/>
          <w:b/>
          <w:sz w:val="44"/>
          <w:szCs w:val="44"/>
        </w:rPr>
        <w:t>关于印发《华南农业大学实验室危险废物</w:t>
      </w:r>
    </w:p>
    <w:p w:rsidR="00E55D14" w:rsidRDefault="00E55D14">
      <w:pPr>
        <w:spacing w:line="720" w:lineRule="exact"/>
        <w:jc w:val="center"/>
        <w:rPr>
          <w:rFonts w:ascii="宋体" w:hAnsi="宋体"/>
          <w:b/>
          <w:sz w:val="44"/>
          <w:szCs w:val="44"/>
        </w:rPr>
      </w:pPr>
      <w:r>
        <w:rPr>
          <w:rFonts w:ascii="宋体" w:hAnsi="宋体" w:hint="eastAsia"/>
          <w:b/>
          <w:sz w:val="44"/>
          <w:szCs w:val="44"/>
        </w:rPr>
        <w:t>处置管理办法》的通知</w:t>
      </w:r>
    </w:p>
    <w:p w:rsidR="00E55D14" w:rsidRDefault="00E55D14">
      <w:pPr>
        <w:spacing w:line="580" w:lineRule="exact"/>
        <w:rPr>
          <w:rFonts w:ascii="仿宋_GB2312" w:eastAsia="仿宋_GB2312"/>
          <w:sz w:val="32"/>
          <w:szCs w:val="32"/>
        </w:rPr>
      </w:pPr>
      <w:r>
        <w:rPr>
          <w:rFonts w:ascii="仿宋_GB2312" w:eastAsia="仿宋_GB2312" w:hint="eastAsia"/>
          <w:sz w:val="32"/>
          <w:szCs w:val="32"/>
        </w:rPr>
        <w:t xml:space="preserve">  </w:t>
      </w:r>
    </w:p>
    <w:p w:rsidR="00E55D14" w:rsidRDefault="00E55D14">
      <w:pPr>
        <w:spacing w:line="520" w:lineRule="exact"/>
        <w:rPr>
          <w:rFonts w:ascii="仿宋_GB2312" w:eastAsia="仿宋_GB2312"/>
          <w:sz w:val="32"/>
          <w:szCs w:val="32"/>
        </w:rPr>
      </w:pPr>
      <w:r>
        <w:rPr>
          <w:rFonts w:ascii="仿宋_GB2312" w:eastAsia="仿宋_GB2312" w:hint="eastAsia"/>
          <w:sz w:val="32"/>
          <w:szCs w:val="32"/>
        </w:rPr>
        <w:t>各学院、部处、各单位：</w:t>
      </w:r>
    </w:p>
    <w:p w:rsidR="00E55D14" w:rsidRDefault="00E55D14">
      <w:pPr>
        <w:spacing w:line="520" w:lineRule="exact"/>
        <w:ind w:firstLineChars="200" w:firstLine="640"/>
        <w:rPr>
          <w:rFonts w:ascii="仿宋_GB2312" w:eastAsia="仿宋_GB2312"/>
          <w:sz w:val="32"/>
          <w:szCs w:val="32"/>
        </w:rPr>
      </w:pPr>
      <w:r>
        <w:rPr>
          <w:rFonts w:ascii="仿宋_GB2312" w:eastAsia="仿宋_GB2312" w:hint="eastAsia"/>
          <w:sz w:val="32"/>
          <w:szCs w:val="32"/>
        </w:rPr>
        <w:t>《华南农业大学实验室危险废物处置管理办法》已经学校</w:t>
      </w:r>
      <w:r>
        <w:rPr>
          <w:rFonts w:eastAsia="仿宋_GB2312"/>
          <w:sz w:val="32"/>
          <w:szCs w:val="32"/>
        </w:rPr>
        <w:t>2019</w:t>
      </w:r>
      <w:r>
        <w:rPr>
          <w:rFonts w:ascii="仿宋_GB2312" w:eastAsia="仿宋_GB2312" w:hint="eastAsia"/>
          <w:sz w:val="32"/>
          <w:szCs w:val="32"/>
        </w:rPr>
        <w:t>年第</w:t>
      </w:r>
      <w:r>
        <w:rPr>
          <w:rFonts w:eastAsia="仿宋_GB2312"/>
          <w:sz w:val="32"/>
          <w:szCs w:val="32"/>
        </w:rPr>
        <w:t>12</w:t>
      </w:r>
      <w:r>
        <w:rPr>
          <w:rFonts w:ascii="仿宋_GB2312" w:eastAsia="仿宋_GB2312" w:hint="eastAsia"/>
          <w:sz w:val="32"/>
          <w:szCs w:val="32"/>
        </w:rPr>
        <w:t>次校长办公会议讨论通过，现予印发，请遵照执行。</w:t>
      </w:r>
    </w:p>
    <w:p w:rsidR="00E55D14" w:rsidRDefault="00E55D14">
      <w:pPr>
        <w:spacing w:line="520" w:lineRule="exact"/>
        <w:ind w:firstLineChars="200" w:firstLine="420"/>
        <w:rPr>
          <w:rFonts w:ascii="仿宋_GB2312" w:eastAsia="仿宋_GB2312"/>
        </w:rPr>
      </w:pPr>
    </w:p>
    <w:p w:rsidR="00E55D14" w:rsidRDefault="00E55D14">
      <w:pPr>
        <w:spacing w:line="520" w:lineRule="exact"/>
        <w:ind w:firstLineChars="200" w:firstLine="420"/>
        <w:rPr>
          <w:rFonts w:ascii="仿宋_GB2312" w:eastAsia="仿宋_GB2312"/>
        </w:rPr>
      </w:pPr>
    </w:p>
    <w:p w:rsidR="00E55D14" w:rsidRDefault="00E55D14">
      <w:pPr>
        <w:spacing w:line="520" w:lineRule="exact"/>
        <w:ind w:firstLineChars="200" w:firstLine="420"/>
        <w:rPr>
          <w:rFonts w:ascii="仿宋_GB2312" w:eastAsia="仿宋_GB2312"/>
        </w:rPr>
      </w:pPr>
    </w:p>
    <w:p w:rsidR="00E55D14" w:rsidRDefault="00E55D14">
      <w:pPr>
        <w:spacing w:line="520" w:lineRule="exact"/>
        <w:ind w:firstLineChars="200" w:firstLine="420"/>
        <w:rPr>
          <w:rFonts w:ascii="仿宋_GB2312" w:eastAsia="仿宋_GB2312"/>
          <w:sz w:val="32"/>
          <w:szCs w:val="32"/>
        </w:rPr>
      </w:pPr>
      <w:r>
        <w:rPr>
          <w:rFonts w:ascii="仿宋_GB2312" w:eastAsia="仿宋_GB2312" w:hint="eastAsia"/>
        </w:rPr>
        <w:t xml:space="preserve">                                                 </w:t>
      </w:r>
      <w:r>
        <w:rPr>
          <w:rFonts w:ascii="仿宋_GB2312" w:eastAsia="仿宋_GB2312" w:hint="eastAsia"/>
          <w:sz w:val="32"/>
          <w:szCs w:val="32"/>
        </w:rPr>
        <w:t>华南农业大学</w:t>
      </w:r>
    </w:p>
    <w:p w:rsidR="00E55D14" w:rsidRDefault="00E55D14">
      <w:pPr>
        <w:spacing w:line="520" w:lineRule="exact"/>
        <w:ind w:firstLineChars="200" w:firstLine="420"/>
        <w:rPr>
          <w:rFonts w:ascii="仿宋_GB2312" w:eastAsia="仿宋_GB2312"/>
          <w:sz w:val="32"/>
        </w:rPr>
      </w:pPr>
      <w:r>
        <w:rPr>
          <w:rFonts w:ascii="仿宋_GB2312" w:eastAsia="仿宋_GB2312" w:hint="eastAsia"/>
        </w:rPr>
        <w:t xml:space="preserve">                                                </w:t>
      </w:r>
      <w:r>
        <w:rPr>
          <w:rFonts w:eastAsia="仿宋_GB2312"/>
          <w:sz w:val="32"/>
        </w:rPr>
        <w:t>2019</w:t>
      </w:r>
      <w:r>
        <w:rPr>
          <w:rFonts w:ascii="仿宋_GB2312" w:eastAsia="仿宋_GB2312" w:hint="eastAsia"/>
          <w:sz w:val="32"/>
        </w:rPr>
        <w:t>年</w:t>
      </w:r>
      <w:r>
        <w:rPr>
          <w:rFonts w:eastAsia="仿宋_GB2312"/>
          <w:sz w:val="32"/>
        </w:rPr>
        <w:t>5</w:t>
      </w:r>
      <w:r>
        <w:rPr>
          <w:rFonts w:ascii="仿宋_GB2312" w:eastAsia="仿宋_GB2312" w:hint="eastAsia"/>
          <w:sz w:val="32"/>
        </w:rPr>
        <w:t>月</w:t>
      </w:r>
      <w:r>
        <w:rPr>
          <w:rFonts w:eastAsia="仿宋_GB2312"/>
          <w:sz w:val="32"/>
        </w:rPr>
        <w:t>17</w:t>
      </w:r>
      <w:r>
        <w:rPr>
          <w:rFonts w:ascii="仿宋_GB2312" w:eastAsia="仿宋_GB2312" w:hint="eastAsia"/>
          <w:sz w:val="32"/>
        </w:rPr>
        <w:t>日</w:t>
      </w:r>
    </w:p>
    <w:p w:rsidR="00E55D14" w:rsidRDefault="00E55D14">
      <w:pPr>
        <w:spacing w:line="520" w:lineRule="exact"/>
        <w:rPr>
          <w:rFonts w:eastAsia="仿宋_GB2312"/>
          <w:sz w:val="32"/>
        </w:rPr>
      </w:pPr>
    </w:p>
    <w:p w:rsidR="00E55D14" w:rsidRDefault="00E55D14">
      <w:pPr>
        <w:spacing w:line="520" w:lineRule="exact"/>
        <w:rPr>
          <w:rFonts w:eastAsia="仿宋_GB2312"/>
          <w:sz w:val="32"/>
        </w:rPr>
      </w:pPr>
    </w:p>
    <w:p w:rsidR="00E55D14" w:rsidRDefault="00E55D14">
      <w:pPr>
        <w:spacing w:line="520" w:lineRule="exact"/>
        <w:rPr>
          <w:rFonts w:eastAsia="仿宋_GB2312"/>
          <w:sz w:val="32"/>
        </w:rPr>
      </w:pPr>
    </w:p>
    <w:p w:rsidR="00E55D14" w:rsidRDefault="00E55D14">
      <w:pPr>
        <w:spacing w:line="520" w:lineRule="exact"/>
        <w:rPr>
          <w:rFonts w:eastAsia="仿宋_GB2312"/>
          <w:sz w:val="32"/>
        </w:rPr>
      </w:pPr>
    </w:p>
    <w:p w:rsidR="00E55D14" w:rsidRDefault="00E55D14">
      <w:pPr>
        <w:spacing w:line="720" w:lineRule="exact"/>
        <w:jc w:val="center"/>
        <w:rPr>
          <w:rFonts w:ascii="宋体" w:hAnsi="宋体"/>
          <w:b/>
          <w:sz w:val="44"/>
          <w:szCs w:val="44"/>
        </w:rPr>
      </w:pPr>
      <w:r>
        <w:rPr>
          <w:rFonts w:ascii="宋体" w:hAnsi="宋体" w:hint="eastAsia"/>
          <w:b/>
          <w:sz w:val="44"/>
          <w:szCs w:val="44"/>
        </w:rPr>
        <w:lastRenderedPageBreak/>
        <w:t>华南农业大学实验室危险废物处置管理办法</w:t>
      </w:r>
    </w:p>
    <w:p w:rsidR="00E55D14" w:rsidRDefault="00E55D14">
      <w:pPr>
        <w:spacing w:line="520" w:lineRule="exact"/>
        <w:jc w:val="center"/>
        <w:rPr>
          <w:rFonts w:ascii="等线" w:hAnsi="等线"/>
          <w:sz w:val="36"/>
          <w:szCs w:val="36"/>
        </w:rPr>
      </w:pPr>
    </w:p>
    <w:p w:rsidR="00E55D14" w:rsidRDefault="00E55D14">
      <w:pPr>
        <w:pStyle w:val="Style7"/>
        <w:numPr>
          <w:ilvl w:val="0"/>
          <w:numId w:val="1"/>
        </w:numPr>
        <w:spacing w:line="520" w:lineRule="exact"/>
        <w:ind w:left="0" w:firstLineChars="0" w:firstLine="0"/>
        <w:jc w:val="center"/>
        <w:rPr>
          <w:rFonts w:ascii="宋体" w:hAnsi="宋体"/>
          <w:b/>
          <w:sz w:val="32"/>
          <w:szCs w:val="32"/>
        </w:rPr>
      </w:pPr>
      <w:r>
        <w:rPr>
          <w:rFonts w:ascii="宋体" w:hAnsi="宋体" w:hint="eastAsia"/>
          <w:b/>
          <w:sz w:val="32"/>
          <w:szCs w:val="32"/>
        </w:rPr>
        <w:t xml:space="preserve"> 总  则</w:t>
      </w:r>
    </w:p>
    <w:p w:rsidR="00E55D14" w:rsidRDefault="00E55D14">
      <w:pPr>
        <w:pStyle w:val="Style7"/>
        <w:spacing w:line="520" w:lineRule="exact"/>
        <w:ind w:firstLine="643"/>
        <w:jc w:val="center"/>
        <w:rPr>
          <w:rFonts w:ascii="仿宋_GB2312" w:eastAsia="仿宋_GB2312" w:hAnsi="等线"/>
          <w:b/>
          <w:sz w:val="32"/>
          <w:szCs w:val="32"/>
        </w:rPr>
      </w:pPr>
    </w:p>
    <w:p w:rsidR="00E55D14" w:rsidRDefault="00E55D14">
      <w:pPr>
        <w:spacing w:line="520" w:lineRule="exact"/>
        <w:ind w:firstLineChars="200" w:firstLine="643"/>
        <w:rPr>
          <w:rFonts w:ascii="仿宋_GB2312" w:eastAsia="仿宋_GB2312" w:hAnsi="等线"/>
          <w:sz w:val="32"/>
          <w:szCs w:val="32"/>
        </w:rPr>
      </w:pPr>
      <w:r>
        <w:rPr>
          <w:rFonts w:ascii="仿宋_GB2312" w:eastAsia="仿宋_GB2312" w:hAnsi="等线" w:hint="eastAsia"/>
          <w:b/>
          <w:sz w:val="32"/>
          <w:szCs w:val="32"/>
        </w:rPr>
        <w:t>第一条</w:t>
      </w:r>
      <w:r>
        <w:rPr>
          <w:rFonts w:ascii="仿宋_GB2312" w:eastAsia="仿宋_GB2312" w:hAnsi="等线" w:hint="eastAsia"/>
          <w:sz w:val="32"/>
          <w:szCs w:val="32"/>
        </w:rPr>
        <w:t xml:space="preserve">  为加强我校实验室危险废物处置管理，保障广大师生员工的人身安全和财产安全，保护环境，根据《中华人民共和国环境保护法》《中华人民共和国固体废物污染环境防治法》《广东省教育厅关于高等学校实验室安全建设与管理规定（修订）》等有关规定，结合我校实际，制定本办法。</w:t>
      </w:r>
    </w:p>
    <w:p w:rsidR="00E55D14" w:rsidRDefault="00E55D14">
      <w:pPr>
        <w:spacing w:line="520" w:lineRule="exact"/>
        <w:ind w:firstLineChars="200" w:firstLine="643"/>
        <w:rPr>
          <w:rFonts w:ascii="仿宋_GB2312" w:eastAsia="仿宋_GB2312" w:hAnsi="等线"/>
          <w:sz w:val="32"/>
          <w:szCs w:val="32"/>
        </w:rPr>
      </w:pPr>
      <w:r>
        <w:rPr>
          <w:rFonts w:ascii="仿宋_GB2312" w:eastAsia="仿宋_GB2312" w:hAnsi="等线" w:hint="eastAsia"/>
          <w:b/>
          <w:sz w:val="32"/>
          <w:szCs w:val="32"/>
        </w:rPr>
        <w:t>第二条</w:t>
      </w:r>
      <w:r>
        <w:rPr>
          <w:rFonts w:ascii="仿宋_GB2312" w:eastAsia="仿宋_GB2312" w:hAnsi="等线" w:hint="eastAsia"/>
          <w:sz w:val="32"/>
          <w:szCs w:val="32"/>
        </w:rPr>
        <w:t xml:space="preserve">  本办法所称实验室危险废物，是指学校各级各类实验室在教学、科研等过程中产生的危害人体健康、污染环境或存在安全隐患，列入《国家危险废物名录》或根据国家规定的危险废物标准和鉴别方法认定的废弃物及污染物。</w:t>
      </w:r>
    </w:p>
    <w:p w:rsidR="00E55D14" w:rsidRDefault="00E55D14">
      <w:pPr>
        <w:spacing w:line="520" w:lineRule="exact"/>
        <w:ind w:firstLineChars="200" w:firstLine="643"/>
        <w:rPr>
          <w:rFonts w:ascii="仿宋_GB2312" w:eastAsia="仿宋_GB2312" w:hAnsi="等线"/>
          <w:sz w:val="32"/>
          <w:szCs w:val="32"/>
        </w:rPr>
      </w:pPr>
      <w:r>
        <w:rPr>
          <w:rFonts w:ascii="仿宋_GB2312" w:eastAsia="仿宋_GB2312" w:hAnsi="等线" w:hint="eastAsia"/>
          <w:b/>
          <w:sz w:val="32"/>
          <w:szCs w:val="32"/>
        </w:rPr>
        <w:t xml:space="preserve">第三条  </w:t>
      </w:r>
      <w:r>
        <w:rPr>
          <w:rFonts w:ascii="仿宋_GB2312" w:eastAsia="仿宋_GB2312" w:hAnsi="等线" w:hint="eastAsia"/>
          <w:sz w:val="32"/>
          <w:szCs w:val="32"/>
        </w:rPr>
        <w:t>凡在学校教学、科研等活动中涉及危险废物的单位和个人，均适用本办法。</w:t>
      </w:r>
    </w:p>
    <w:p w:rsidR="00E55D14" w:rsidRDefault="00E55D14">
      <w:pPr>
        <w:spacing w:line="520" w:lineRule="exact"/>
        <w:ind w:firstLineChars="200" w:firstLine="643"/>
        <w:rPr>
          <w:rFonts w:ascii="仿宋_GB2312" w:eastAsia="仿宋_GB2312" w:hAnsi="等线"/>
          <w:sz w:val="32"/>
          <w:szCs w:val="32"/>
        </w:rPr>
      </w:pPr>
      <w:r>
        <w:rPr>
          <w:rFonts w:ascii="仿宋_GB2312" w:eastAsia="仿宋_GB2312" w:hAnsi="等线" w:hint="eastAsia"/>
          <w:b/>
          <w:sz w:val="32"/>
          <w:szCs w:val="32"/>
        </w:rPr>
        <w:t xml:space="preserve">第四条  </w:t>
      </w:r>
      <w:r>
        <w:rPr>
          <w:rFonts w:ascii="仿宋_GB2312" w:eastAsia="仿宋_GB2312" w:hAnsi="等线" w:hint="eastAsia"/>
          <w:sz w:val="32"/>
          <w:szCs w:val="32"/>
        </w:rPr>
        <w:t>学校提倡开展微型化、无害化绿色实验，减少危险化学品和生物物品的使用，尽量减少危险废物特别是剧毒化学品废弃物的产生量。</w:t>
      </w:r>
    </w:p>
    <w:p w:rsidR="00E55D14" w:rsidRDefault="00E55D14">
      <w:pPr>
        <w:spacing w:line="520" w:lineRule="exact"/>
        <w:ind w:firstLineChars="200" w:firstLine="640"/>
        <w:rPr>
          <w:rFonts w:ascii="仿宋_GB2312" w:eastAsia="仿宋_GB2312" w:hAnsi="等线"/>
          <w:sz w:val="32"/>
          <w:szCs w:val="32"/>
        </w:rPr>
      </w:pPr>
    </w:p>
    <w:p w:rsidR="00E55D14" w:rsidRDefault="00E55D14">
      <w:pPr>
        <w:pStyle w:val="Style7"/>
        <w:numPr>
          <w:ilvl w:val="0"/>
          <w:numId w:val="1"/>
        </w:numPr>
        <w:spacing w:line="520" w:lineRule="exact"/>
        <w:ind w:left="0" w:firstLineChars="0" w:firstLine="0"/>
        <w:jc w:val="center"/>
        <w:rPr>
          <w:rFonts w:ascii="宋体" w:hAnsi="宋体"/>
          <w:b/>
          <w:sz w:val="32"/>
          <w:szCs w:val="32"/>
        </w:rPr>
      </w:pPr>
      <w:r>
        <w:rPr>
          <w:rFonts w:ascii="宋体" w:hAnsi="宋体" w:hint="eastAsia"/>
          <w:b/>
          <w:sz w:val="32"/>
          <w:szCs w:val="32"/>
        </w:rPr>
        <w:t xml:space="preserve"> 管理职责</w:t>
      </w:r>
    </w:p>
    <w:p w:rsidR="00E55D14" w:rsidRDefault="00E55D14">
      <w:pPr>
        <w:pStyle w:val="Style7"/>
        <w:spacing w:line="520" w:lineRule="exact"/>
        <w:ind w:firstLine="640"/>
        <w:jc w:val="center"/>
        <w:rPr>
          <w:rFonts w:ascii="黑体" w:eastAsia="黑体" w:hAnsi="黑体"/>
          <w:sz w:val="32"/>
          <w:szCs w:val="32"/>
        </w:rPr>
      </w:pPr>
    </w:p>
    <w:p w:rsidR="00E55D14" w:rsidRDefault="00E55D14">
      <w:pPr>
        <w:spacing w:line="520" w:lineRule="exact"/>
        <w:ind w:firstLineChars="200" w:firstLine="643"/>
        <w:rPr>
          <w:rFonts w:ascii="仿宋_GB2312" w:eastAsia="仿宋_GB2312" w:hAnsi="等线"/>
          <w:sz w:val="32"/>
          <w:szCs w:val="32"/>
        </w:rPr>
      </w:pPr>
      <w:r>
        <w:rPr>
          <w:rFonts w:ascii="仿宋_GB2312" w:eastAsia="仿宋_GB2312" w:hAnsi="等线" w:hint="eastAsia"/>
          <w:b/>
          <w:sz w:val="32"/>
          <w:szCs w:val="32"/>
        </w:rPr>
        <w:t>第五条</w:t>
      </w:r>
      <w:r>
        <w:rPr>
          <w:rFonts w:ascii="仿宋_GB2312" w:eastAsia="仿宋_GB2312" w:hAnsi="等线" w:hint="eastAsia"/>
          <w:sz w:val="32"/>
          <w:szCs w:val="32"/>
        </w:rPr>
        <w:t xml:space="preserve">  资产管理处负责学校实验室危险废物处置的管理工作，主要职责是：</w:t>
      </w:r>
    </w:p>
    <w:p w:rsidR="00E55D14" w:rsidRDefault="00E55D14">
      <w:pPr>
        <w:pStyle w:val="Style7"/>
        <w:numPr>
          <w:ilvl w:val="255"/>
          <w:numId w:val="0"/>
        </w:numPr>
        <w:spacing w:line="520" w:lineRule="exact"/>
        <w:ind w:firstLineChars="200" w:firstLine="640"/>
        <w:rPr>
          <w:rFonts w:ascii="仿宋_GB2312" w:eastAsia="仿宋_GB2312" w:hAnsi="等线"/>
          <w:sz w:val="32"/>
          <w:szCs w:val="32"/>
        </w:rPr>
      </w:pPr>
      <w:r>
        <w:rPr>
          <w:rFonts w:ascii="仿宋_GB2312" w:eastAsia="仿宋_GB2312" w:hAnsi="等线" w:hint="eastAsia"/>
          <w:sz w:val="32"/>
          <w:szCs w:val="32"/>
        </w:rPr>
        <w:t>（一）组织制定学校相关管理规章制度和事故应急预案；开展相关宣传、教育和培训工作。</w:t>
      </w:r>
    </w:p>
    <w:p w:rsidR="00E55D14" w:rsidRDefault="00E55D14">
      <w:pPr>
        <w:numPr>
          <w:ilvl w:val="255"/>
          <w:numId w:val="0"/>
        </w:numPr>
        <w:spacing w:line="540" w:lineRule="exact"/>
        <w:ind w:firstLineChars="200" w:firstLine="640"/>
        <w:rPr>
          <w:rFonts w:ascii="仿宋_GB2312" w:eastAsia="仿宋_GB2312" w:hAnsi="等线"/>
          <w:sz w:val="32"/>
          <w:szCs w:val="32"/>
        </w:rPr>
      </w:pPr>
      <w:r>
        <w:rPr>
          <w:rFonts w:ascii="仿宋_GB2312" w:eastAsia="仿宋_GB2312" w:hAnsi="等线" w:hint="eastAsia"/>
          <w:sz w:val="32"/>
          <w:szCs w:val="32"/>
        </w:rPr>
        <w:lastRenderedPageBreak/>
        <w:t>（二）指导和监督相关单位进行实验室危险废物的分类、收集和存放等工作。</w:t>
      </w:r>
    </w:p>
    <w:p w:rsidR="00E55D14" w:rsidRDefault="00E55D14">
      <w:pPr>
        <w:numPr>
          <w:ilvl w:val="255"/>
          <w:numId w:val="0"/>
        </w:numPr>
        <w:spacing w:line="540" w:lineRule="exact"/>
        <w:ind w:firstLineChars="200" w:firstLine="640"/>
        <w:rPr>
          <w:rFonts w:ascii="仿宋_GB2312" w:eastAsia="仿宋_GB2312" w:hAnsi="等线"/>
          <w:sz w:val="32"/>
          <w:szCs w:val="32"/>
        </w:rPr>
      </w:pPr>
      <w:r>
        <w:rPr>
          <w:rFonts w:ascii="仿宋_GB2312" w:eastAsia="仿宋_GB2312" w:hAnsi="等线" w:hint="eastAsia"/>
          <w:sz w:val="32"/>
          <w:szCs w:val="32"/>
        </w:rPr>
        <w:t>（三）组织全校危险废物的回收工作，并委托有资质的专业机构进行处置。</w:t>
      </w:r>
    </w:p>
    <w:p w:rsidR="00E55D14" w:rsidRDefault="00E55D14">
      <w:pPr>
        <w:numPr>
          <w:ilvl w:val="255"/>
          <w:numId w:val="0"/>
        </w:numPr>
        <w:spacing w:line="540" w:lineRule="exact"/>
        <w:ind w:firstLineChars="200" w:firstLine="640"/>
        <w:rPr>
          <w:rFonts w:ascii="仿宋_GB2312" w:eastAsia="仿宋_GB2312" w:hAnsi="等线"/>
          <w:sz w:val="32"/>
          <w:szCs w:val="32"/>
        </w:rPr>
      </w:pPr>
      <w:r>
        <w:rPr>
          <w:rFonts w:ascii="仿宋_GB2312" w:eastAsia="仿宋_GB2312" w:hAnsi="等线" w:hint="eastAsia"/>
          <w:sz w:val="32"/>
          <w:szCs w:val="32"/>
        </w:rPr>
        <w:t>（四）监督检查实验室危险废物安全管理及制度落实情况。</w:t>
      </w:r>
    </w:p>
    <w:p w:rsidR="00E55D14" w:rsidRDefault="00E55D14">
      <w:pPr>
        <w:widowControl/>
        <w:spacing w:line="540" w:lineRule="exact"/>
        <w:ind w:firstLineChars="200" w:firstLine="643"/>
        <w:jc w:val="left"/>
        <w:rPr>
          <w:rFonts w:ascii="仿宋_GB2312" w:eastAsia="仿宋_GB2312" w:hAnsi="等线"/>
          <w:sz w:val="32"/>
          <w:szCs w:val="32"/>
        </w:rPr>
      </w:pPr>
      <w:r>
        <w:rPr>
          <w:rFonts w:ascii="仿宋_GB2312" w:eastAsia="仿宋_GB2312" w:hAnsi="等线" w:hint="eastAsia"/>
          <w:b/>
          <w:sz w:val="32"/>
          <w:szCs w:val="32"/>
        </w:rPr>
        <w:t xml:space="preserve">第六条  </w:t>
      </w:r>
      <w:r>
        <w:rPr>
          <w:rFonts w:ascii="仿宋_GB2312" w:eastAsia="仿宋_GB2312" w:hAnsi="等线" w:hint="eastAsia"/>
          <w:sz w:val="32"/>
          <w:szCs w:val="32"/>
        </w:rPr>
        <w:t>学院（中心）是实验室危险废物管理的主体责任单位，应指定专人负责危险废物的管理工作。主要职责是：</w:t>
      </w:r>
    </w:p>
    <w:p w:rsidR="00E55D14" w:rsidRDefault="00E55D14">
      <w:pPr>
        <w:widowControl/>
        <w:spacing w:line="540" w:lineRule="exact"/>
        <w:ind w:firstLineChars="200" w:firstLine="640"/>
        <w:jc w:val="left"/>
        <w:rPr>
          <w:rFonts w:ascii="仿宋_GB2312" w:eastAsia="仿宋_GB2312" w:hAnsi="等线"/>
          <w:sz w:val="32"/>
          <w:szCs w:val="32"/>
        </w:rPr>
      </w:pPr>
      <w:r>
        <w:rPr>
          <w:rFonts w:ascii="仿宋_GB2312" w:eastAsia="仿宋_GB2312" w:hAnsi="等线" w:hint="eastAsia"/>
          <w:sz w:val="32"/>
          <w:szCs w:val="32"/>
        </w:rPr>
        <w:t>（一）组织制定本单位相关管理制度、工作流程和事故应急预案。</w:t>
      </w:r>
    </w:p>
    <w:p w:rsidR="00E55D14" w:rsidRDefault="00E55D14">
      <w:pPr>
        <w:spacing w:line="540" w:lineRule="exact"/>
        <w:ind w:firstLineChars="200" w:firstLine="640"/>
        <w:rPr>
          <w:rFonts w:ascii="仿宋_GB2312" w:eastAsia="仿宋_GB2312" w:hAnsi="等线"/>
          <w:sz w:val="32"/>
          <w:szCs w:val="32"/>
        </w:rPr>
      </w:pPr>
      <w:r>
        <w:rPr>
          <w:rFonts w:ascii="仿宋_GB2312" w:eastAsia="仿宋_GB2312" w:hAnsi="等线" w:hint="eastAsia"/>
          <w:sz w:val="32"/>
          <w:szCs w:val="32"/>
        </w:rPr>
        <w:t>（二）组织落实本单位实验室危险废物收集、存放场所和相应设施；定期监督检查，发现问题及时整改。</w:t>
      </w:r>
    </w:p>
    <w:p w:rsidR="00E55D14" w:rsidRDefault="00E55D14">
      <w:pPr>
        <w:numPr>
          <w:ilvl w:val="255"/>
          <w:numId w:val="0"/>
        </w:numPr>
        <w:spacing w:line="540" w:lineRule="exact"/>
        <w:ind w:firstLineChars="200" w:firstLine="640"/>
        <w:rPr>
          <w:rFonts w:ascii="仿宋_GB2312" w:eastAsia="仿宋_GB2312" w:hAnsi="微软雅黑" w:cs="宋体"/>
          <w:color w:val="555555"/>
          <w:kern w:val="0"/>
          <w:sz w:val="32"/>
          <w:szCs w:val="32"/>
        </w:rPr>
      </w:pPr>
      <w:r>
        <w:rPr>
          <w:rFonts w:ascii="仿宋_GB2312" w:eastAsia="仿宋_GB2312" w:hAnsi="等线" w:hint="eastAsia"/>
          <w:sz w:val="32"/>
          <w:szCs w:val="32"/>
        </w:rPr>
        <w:t>（三）组织开展本单位相关宣传、教育和培训工作，强化师生的安全与环保意识，提高人员的工作技能与水平。</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 xml:space="preserve">第七条 </w:t>
      </w:r>
      <w:r>
        <w:rPr>
          <w:rFonts w:ascii="仿宋_GB2312" w:eastAsia="仿宋_GB2312" w:hAnsi="等线" w:hint="eastAsia"/>
          <w:sz w:val="32"/>
          <w:szCs w:val="32"/>
        </w:rPr>
        <w:t xml:space="preserve"> 实验室须执行国家法律法规及学校相关制度，做好实验室危险废物的安全管理。 </w:t>
      </w:r>
    </w:p>
    <w:p w:rsidR="00E55D14" w:rsidRDefault="00E55D14">
      <w:pPr>
        <w:numPr>
          <w:ilvl w:val="255"/>
          <w:numId w:val="0"/>
        </w:numPr>
        <w:spacing w:line="540" w:lineRule="exact"/>
        <w:ind w:firstLineChars="200" w:firstLine="640"/>
        <w:rPr>
          <w:rFonts w:ascii="仿宋_GB2312" w:eastAsia="仿宋_GB2312" w:hAnsi="等线"/>
          <w:sz w:val="32"/>
          <w:szCs w:val="32"/>
        </w:rPr>
      </w:pPr>
      <w:r>
        <w:rPr>
          <w:rFonts w:ascii="仿宋_GB2312" w:eastAsia="仿宋_GB2312" w:hAnsi="等线" w:hint="eastAsia"/>
          <w:sz w:val="32"/>
          <w:szCs w:val="32"/>
        </w:rPr>
        <w:t>（一）对进入实验室开展教学、科研等工作的各类人员进行实验室危险废物收集、处置的相关培训，使其掌握相关知识和要求；</w:t>
      </w:r>
    </w:p>
    <w:p w:rsidR="00E55D14" w:rsidRDefault="00E55D14">
      <w:pPr>
        <w:numPr>
          <w:ilvl w:val="255"/>
          <w:numId w:val="0"/>
        </w:numPr>
        <w:spacing w:line="540" w:lineRule="exact"/>
        <w:ind w:firstLineChars="200" w:firstLine="640"/>
        <w:rPr>
          <w:rFonts w:ascii="仿宋_GB2312" w:eastAsia="仿宋_GB2312" w:hAnsi="等线"/>
          <w:sz w:val="32"/>
          <w:szCs w:val="32"/>
        </w:rPr>
      </w:pPr>
      <w:r>
        <w:rPr>
          <w:rFonts w:ascii="仿宋_GB2312" w:eastAsia="仿宋_GB2312" w:hAnsi="等线" w:hint="eastAsia"/>
          <w:sz w:val="32"/>
          <w:szCs w:val="32"/>
        </w:rPr>
        <w:t>（二）须指定专人负责本实验室危险废物的管理工作；</w:t>
      </w:r>
    </w:p>
    <w:p w:rsidR="00E55D14" w:rsidRDefault="00E55D14">
      <w:pPr>
        <w:numPr>
          <w:ilvl w:val="255"/>
          <w:numId w:val="0"/>
        </w:numPr>
        <w:spacing w:line="540" w:lineRule="exact"/>
        <w:ind w:firstLineChars="200" w:firstLine="640"/>
        <w:rPr>
          <w:rFonts w:ascii="仿宋_GB2312" w:eastAsia="仿宋_GB2312" w:hAnsi="等线"/>
          <w:sz w:val="32"/>
          <w:szCs w:val="32"/>
        </w:rPr>
      </w:pPr>
      <w:r>
        <w:rPr>
          <w:rFonts w:ascii="仿宋_GB2312" w:eastAsia="仿宋_GB2312" w:hAnsi="等线" w:hint="eastAsia"/>
          <w:sz w:val="32"/>
          <w:szCs w:val="32"/>
        </w:rPr>
        <w:t>（三）按规范要求完成实验室危险废物的分类、收集、存放和处置工作，发现问题及时整改；</w:t>
      </w:r>
    </w:p>
    <w:p w:rsidR="00E55D14" w:rsidRDefault="00E55D14">
      <w:pPr>
        <w:numPr>
          <w:ilvl w:val="255"/>
          <w:numId w:val="0"/>
        </w:numPr>
        <w:spacing w:line="540" w:lineRule="exact"/>
        <w:ind w:firstLineChars="200" w:firstLine="640"/>
        <w:rPr>
          <w:rFonts w:ascii="仿宋_GB2312" w:eastAsia="仿宋_GB2312" w:hAnsi="等线"/>
          <w:sz w:val="32"/>
          <w:szCs w:val="32"/>
        </w:rPr>
      </w:pPr>
      <w:r>
        <w:rPr>
          <w:rFonts w:ascii="仿宋_GB2312" w:eastAsia="仿宋_GB2312" w:hAnsi="等线" w:hint="eastAsia"/>
          <w:sz w:val="32"/>
          <w:szCs w:val="32"/>
        </w:rPr>
        <w:t>（四）根据实验过程中产生的危险废物填写危险废物台账，建立处置档案。</w:t>
      </w:r>
    </w:p>
    <w:p w:rsidR="00E55D14" w:rsidRDefault="00E55D14">
      <w:pPr>
        <w:spacing w:line="540" w:lineRule="exact"/>
        <w:ind w:firstLineChars="200" w:firstLine="643"/>
        <w:rPr>
          <w:rFonts w:ascii="仿宋_GB2312" w:eastAsia="仿宋_GB2312" w:hAnsi="等线" w:hint="eastAsia"/>
          <w:sz w:val="32"/>
          <w:szCs w:val="32"/>
        </w:rPr>
      </w:pPr>
      <w:r>
        <w:rPr>
          <w:rFonts w:ascii="仿宋_GB2312" w:eastAsia="仿宋_GB2312" w:hAnsi="等线" w:hint="eastAsia"/>
          <w:b/>
          <w:sz w:val="32"/>
          <w:szCs w:val="32"/>
        </w:rPr>
        <w:t xml:space="preserve">第八条  </w:t>
      </w:r>
      <w:r>
        <w:rPr>
          <w:rFonts w:ascii="仿宋_GB2312" w:eastAsia="仿宋_GB2312" w:hAnsi="等线" w:hint="eastAsia"/>
          <w:sz w:val="32"/>
          <w:szCs w:val="32"/>
        </w:rPr>
        <w:t>校内其他独立法人或经营单位产生的危险废物，应</w:t>
      </w:r>
      <w:r>
        <w:rPr>
          <w:rFonts w:ascii="仿宋_GB2312" w:eastAsia="仿宋_GB2312" w:hAnsi="等线" w:hint="eastAsia"/>
          <w:sz w:val="32"/>
          <w:szCs w:val="32"/>
        </w:rPr>
        <w:lastRenderedPageBreak/>
        <w:t>自行依法收集与处置。</w:t>
      </w:r>
    </w:p>
    <w:p w:rsidR="00E55D14" w:rsidRDefault="00E55D14">
      <w:pPr>
        <w:spacing w:line="540" w:lineRule="exact"/>
        <w:ind w:firstLineChars="200" w:firstLine="640"/>
        <w:rPr>
          <w:rFonts w:ascii="仿宋_GB2312" w:eastAsia="仿宋_GB2312" w:hAnsi="等线"/>
          <w:sz w:val="32"/>
          <w:szCs w:val="32"/>
        </w:rPr>
      </w:pPr>
    </w:p>
    <w:p w:rsidR="00E55D14" w:rsidRDefault="00E55D14">
      <w:pPr>
        <w:numPr>
          <w:ilvl w:val="0"/>
          <w:numId w:val="1"/>
        </w:numPr>
        <w:spacing w:line="540" w:lineRule="exact"/>
        <w:ind w:left="0" w:firstLine="0"/>
        <w:jc w:val="center"/>
        <w:rPr>
          <w:rFonts w:ascii="宋体" w:hAnsi="宋体"/>
          <w:b/>
          <w:sz w:val="32"/>
          <w:szCs w:val="32"/>
        </w:rPr>
      </w:pPr>
      <w:r>
        <w:rPr>
          <w:rFonts w:ascii="宋体" w:hAnsi="宋体" w:hint="eastAsia"/>
          <w:b/>
          <w:sz w:val="32"/>
          <w:szCs w:val="32"/>
        </w:rPr>
        <w:t>收集与存放</w:t>
      </w:r>
    </w:p>
    <w:p w:rsidR="00E55D14" w:rsidRDefault="00E55D14">
      <w:pPr>
        <w:spacing w:line="540" w:lineRule="exact"/>
        <w:ind w:firstLineChars="200" w:firstLine="643"/>
        <w:rPr>
          <w:rFonts w:ascii="仿宋_GB2312" w:eastAsia="仿宋_GB2312" w:hAnsi="等线"/>
          <w:b/>
          <w:sz w:val="32"/>
          <w:szCs w:val="32"/>
        </w:rPr>
      </w:pP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 xml:space="preserve">第九条  </w:t>
      </w:r>
      <w:r>
        <w:rPr>
          <w:rFonts w:ascii="仿宋_GB2312" w:eastAsia="仿宋_GB2312" w:hAnsi="等线" w:hint="eastAsia"/>
          <w:sz w:val="32"/>
          <w:szCs w:val="32"/>
        </w:rPr>
        <w:t>实验室应根据危险废物的类别及特性分类收集及存放，收集容器上必须粘贴危险废物标签，明显标示危险废物的化学名称（主要成分）、危险特性、实验室名称及房号、联系人及电话等信息，并保持清晰可见。剧毒化学废液、易燃易爆化学废物必须单独收集及妥善存放，不得混入普通危险废物中。</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 xml:space="preserve">第十条  </w:t>
      </w:r>
      <w:r>
        <w:rPr>
          <w:rFonts w:ascii="仿宋_GB2312" w:eastAsia="仿宋_GB2312" w:hAnsi="等线" w:hint="eastAsia"/>
          <w:sz w:val="32"/>
          <w:szCs w:val="32"/>
        </w:rPr>
        <w:t>收集容器内须保留足够的空间，盛装液体应不超过容器容积的</w:t>
      </w:r>
      <w:r>
        <w:rPr>
          <w:rFonts w:eastAsia="仿宋_GB2312"/>
          <w:sz w:val="32"/>
          <w:szCs w:val="32"/>
        </w:rPr>
        <w:t>75%</w:t>
      </w:r>
      <w:r>
        <w:rPr>
          <w:rFonts w:ascii="仿宋_GB2312" w:eastAsia="仿宋_GB2312" w:hAnsi="等线" w:hint="eastAsia"/>
          <w:sz w:val="32"/>
          <w:szCs w:val="32"/>
        </w:rPr>
        <w:t>；盛装危险废物的容器及盖子须保持完好，无破损、损坏或其他可能引起泄漏的安全隐患。</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 xml:space="preserve">第十一条  </w:t>
      </w:r>
      <w:r>
        <w:rPr>
          <w:rFonts w:ascii="仿宋_GB2312" w:eastAsia="仿宋_GB2312" w:hAnsi="等线" w:hint="eastAsia"/>
          <w:sz w:val="32"/>
          <w:szCs w:val="32"/>
        </w:rPr>
        <w:t>不具相容性的实验室危险废物应分别收集，不得混贮。实验室废弃物相容表应悬挂于明显处。</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bCs/>
          <w:sz w:val="32"/>
          <w:szCs w:val="32"/>
        </w:rPr>
        <w:t xml:space="preserve">第十二条  </w:t>
      </w:r>
      <w:r>
        <w:rPr>
          <w:rFonts w:ascii="仿宋_GB2312" w:eastAsia="仿宋_GB2312" w:hAnsi="等线" w:hint="eastAsia"/>
          <w:sz w:val="32"/>
          <w:szCs w:val="32"/>
        </w:rPr>
        <w:t>实验室产生的针头、盖（载）玻片、碎玻璃等容易刺伤或割伤人体的尖锐废弃物，应收集在锐器盒。</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bCs/>
          <w:sz w:val="32"/>
          <w:szCs w:val="32"/>
        </w:rPr>
        <w:t>第十三条</w:t>
      </w:r>
      <w:r>
        <w:rPr>
          <w:rFonts w:ascii="仿宋_GB2312" w:eastAsia="仿宋_GB2312" w:hAnsi="等线" w:hint="eastAsia"/>
          <w:sz w:val="32"/>
          <w:szCs w:val="32"/>
        </w:rPr>
        <w:t xml:space="preserve">  涉及感染性高危废物（含有病原体的培养基、标本和菌种、毒种保存液等）应当经高压蒸汽灭菌或化学消毒剂灭菌灭活处理后，再按感染性废物的管理要求收集。</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bCs/>
          <w:sz w:val="32"/>
          <w:szCs w:val="32"/>
        </w:rPr>
        <w:t xml:space="preserve">第十四条  </w:t>
      </w:r>
      <w:r>
        <w:rPr>
          <w:rFonts w:ascii="仿宋_GB2312" w:eastAsia="仿宋_GB2312" w:hAnsi="等线" w:hint="eastAsia"/>
          <w:sz w:val="32"/>
          <w:szCs w:val="32"/>
        </w:rPr>
        <w:t>实验产生的动物尸体或器官，不得随意丢弃或焚烧，必须存放在动物尸骸回收冰柜中，定期报送资产管理处安排处置。</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第十五条</w:t>
      </w:r>
      <w:r>
        <w:rPr>
          <w:rFonts w:ascii="仿宋_GB2312" w:eastAsia="仿宋_GB2312" w:hAnsi="等线" w:hint="eastAsia"/>
          <w:sz w:val="32"/>
          <w:szCs w:val="32"/>
        </w:rPr>
        <w:t xml:space="preserve">  实验室应划定专门房间或区域用于存储实验室危险废物，保持通风，避免高温、日晒、雨淋，远离火源及生活</w:t>
      </w:r>
      <w:r>
        <w:rPr>
          <w:rFonts w:ascii="仿宋_GB2312" w:eastAsia="仿宋_GB2312" w:hAnsi="等线" w:hint="eastAsia"/>
          <w:sz w:val="32"/>
          <w:szCs w:val="32"/>
        </w:rPr>
        <w:lastRenderedPageBreak/>
        <w:t>垃圾。不得存放于实验室走廊、楼梯转角等公共区域。存放房间或区域应张贴危险废物警告标志、危险废物收集管理注意事项等。</w:t>
      </w:r>
    </w:p>
    <w:p w:rsidR="00E55D14" w:rsidRDefault="00E55D14">
      <w:pPr>
        <w:spacing w:line="540" w:lineRule="exact"/>
        <w:ind w:firstLineChars="200" w:firstLine="640"/>
        <w:rPr>
          <w:rFonts w:ascii="仿宋_GB2312" w:eastAsia="仿宋_GB2312" w:hAnsi="等线"/>
          <w:sz w:val="32"/>
          <w:szCs w:val="32"/>
        </w:rPr>
      </w:pPr>
    </w:p>
    <w:p w:rsidR="00E55D14" w:rsidRDefault="00E55D14">
      <w:pPr>
        <w:numPr>
          <w:ilvl w:val="0"/>
          <w:numId w:val="1"/>
        </w:numPr>
        <w:spacing w:line="540" w:lineRule="exact"/>
        <w:ind w:left="0" w:firstLine="0"/>
        <w:jc w:val="center"/>
        <w:rPr>
          <w:rFonts w:ascii="宋体" w:hAnsi="宋体"/>
          <w:b/>
          <w:sz w:val="32"/>
          <w:szCs w:val="32"/>
        </w:rPr>
      </w:pPr>
      <w:r>
        <w:rPr>
          <w:rFonts w:ascii="宋体" w:hAnsi="宋体" w:hint="eastAsia"/>
          <w:b/>
          <w:sz w:val="32"/>
          <w:szCs w:val="32"/>
        </w:rPr>
        <w:t xml:space="preserve"> 转移与处置</w:t>
      </w:r>
    </w:p>
    <w:p w:rsidR="00E55D14" w:rsidRDefault="00E55D14">
      <w:pPr>
        <w:spacing w:line="540" w:lineRule="exact"/>
        <w:jc w:val="center"/>
        <w:rPr>
          <w:rFonts w:ascii="宋体" w:hAnsi="宋体"/>
          <w:b/>
          <w:sz w:val="32"/>
          <w:szCs w:val="32"/>
        </w:rPr>
      </w:pP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 xml:space="preserve">第十六条 </w:t>
      </w:r>
      <w:r>
        <w:rPr>
          <w:rFonts w:ascii="仿宋_GB2312" w:eastAsia="仿宋_GB2312" w:hAnsi="等线" w:hint="eastAsia"/>
          <w:sz w:val="32"/>
          <w:szCs w:val="32"/>
        </w:rPr>
        <w:t xml:space="preserve"> 实验室应指定专人负责危险废物的收集、分类、登记和转运，填写危险废物台账，建立处置档案（含产废实验室名称、产废日期、危险废物名称、类别、数量、处置方式、经办人、处置日期等信息）。</w:t>
      </w:r>
    </w:p>
    <w:p w:rsidR="00E55D14" w:rsidRDefault="00E55D14">
      <w:pPr>
        <w:spacing w:line="540" w:lineRule="exact"/>
        <w:ind w:firstLineChars="200" w:firstLine="643"/>
        <w:rPr>
          <w:rFonts w:ascii="仿宋_GB2312" w:eastAsia="仿宋_GB2312" w:hAnsi="等线"/>
          <w:b/>
          <w:sz w:val="32"/>
          <w:szCs w:val="32"/>
        </w:rPr>
      </w:pPr>
      <w:r>
        <w:rPr>
          <w:rFonts w:ascii="仿宋_GB2312" w:eastAsia="仿宋_GB2312" w:hAnsi="等线" w:hint="eastAsia"/>
          <w:b/>
          <w:sz w:val="32"/>
          <w:szCs w:val="32"/>
        </w:rPr>
        <w:t>第十七条</w:t>
      </w:r>
      <w:r>
        <w:rPr>
          <w:rFonts w:ascii="仿宋_GB2312" w:eastAsia="仿宋_GB2312" w:hAnsi="等线" w:hint="eastAsia"/>
          <w:sz w:val="32"/>
          <w:szCs w:val="32"/>
        </w:rPr>
        <w:t xml:space="preserve">  各学院（中心）定期汇总实验室危险废物数量及品名等信息并报送资产管理处。接收集通知后，将本单位的危险废物按要求整理，检查包装完好，标签明晰，集中在约定时间及地点等候收集。</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第十八条</w:t>
      </w:r>
      <w:r>
        <w:rPr>
          <w:rFonts w:ascii="仿宋_GB2312" w:eastAsia="仿宋_GB2312" w:hAnsi="等线" w:hint="eastAsia"/>
          <w:sz w:val="32"/>
          <w:szCs w:val="32"/>
        </w:rPr>
        <w:t xml:space="preserve">  资产管理处定期组织实验室危险废物的转移及处置。</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第十九条</w:t>
      </w:r>
      <w:r>
        <w:rPr>
          <w:rFonts w:ascii="仿宋_GB2312" w:eastAsia="仿宋_GB2312" w:hAnsi="等线" w:hint="eastAsia"/>
          <w:sz w:val="32"/>
          <w:szCs w:val="32"/>
        </w:rPr>
        <w:t xml:space="preserve">  实验室危险废物收集处理必须遵照相关的安全与环保规定，禁止任何单位及个人将实验室危险废物委托给不具备资质的机构或企业进行收集、贮存、利用及处置等。</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第二十条</w:t>
      </w:r>
      <w:r>
        <w:rPr>
          <w:rFonts w:ascii="仿宋_GB2312" w:eastAsia="仿宋_GB2312" w:hAnsi="等线" w:hint="eastAsia"/>
          <w:sz w:val="32"/>
          <w:szCs w:val="32"/>
        </w:rPr>
        <w:t xml:space="preserve">  实验室危险废物处置所产生的费用由学校和产废单位共同承担，其中学校拨专项经费支付</w:t>
      </w:r>
      <w:r>
        <w:rPr>
          <w:rFonts w:eastAsia="仿宋_GB2312"/>
          <w:sz w:val="32"/>
          <w:szCs w:val="32"/>
        </w:rPr>
        <w:t>90%</w:t>
      </w:r>
      <w:r>
        <w:rPr>
          <w:rFonts w:ascii="仿宋_GB2312" w:eastAsia="仿宋_GB2312" w:hAnsi="等线" w:hint="eastAsia"/>
          <w:sz w:val="32"/>
          <w:szCs w:val="32"/>
        </w:rPr>
        <w:t>，产废单位承担</w:t>
      </w:r>
      <w:r>
        <w:rPr>
          <w:rFonts w:eastAsia="仿宋_GB2312"/>
          <w:sz w:val="32"/>
          <w:szCs w:val="32"/>
        </w:rPr>
        <w:t>10%</w:t>
      </w:r>
      <w:r>
        <w:rPr>
          <w:rFonts w:ascii="仿宋_GB2312" w:eastAsia="仿宋_GB2312" w:hAnsi="等线" w:hint="eastAsia"/>
          <w:sz w:val="32"/>
          <w:szCs w:val="32"/>
        </w:rPr>
        <w:t>；产废单位将其应承担的处置费用转入学校危险废物处置专项经费卡中，由学校统一支付。</w:t>
      </w:r>
    </w:p>
    <w:p w:rsidR="00E55D14" w:rsidRDefault="00E55D14">
      <w:pPr>
        <w:spacing w:line="540" w:lineRule="exact"/>
        <w:ind w:firstLineChars="200" w:firstLine="643"/>
        <w:rPr>
          <w:rFonts w:ascii="仿宋_GB2312" w:eastAsia="仿宋_GB2312" w:hAnsi="等线" w:hint="eastAsia"/>
          <w:sz w:val="32"/>
          <w:szCs w:val="32"/>
        </w:rPr>
      </w:pPr>
      <w:r>
        <w:rPr>
          <w:rFonts w:ascii="仿宋_GB2312" w:eastAsia="仿宋_GB2312" w:hAnsi="等线" w:hint="eastAsia"/>
          <w:b/>
          <w:sz w:val="32"/>
          <w:szCs w:val="32"/>
        </w:rPr>
        <w:t>第二十一条</w:t>
      </w:r>
      <w:r>
        <w:rPr>
          <w:rFonts w:ascii="仿宋_GB2312" w:eastAsia="仿宋_GB2312" w:hAnsi="等线" w:hint="eastAsia"/>
          <w:sz w:val="32"/>
          <w:szCs w:val="32"/>
        </w:rPr>
        <w:t xml:space="preserve">  具有特殊处理要求且独家使用的实验室危险</w:t>
      </w:r>
      <w:r>
        <w:rPr>
          <w:rFonts w:ascii="仿宋_GB2312" w:eastAsia="仿宋_GB2312" w:hAnsi="等线" w:hint="eastAsia"/>
          <w:sz w:val="32"/>
          <w:szCs w:val="32"/>
        </w:rPr>
        <w:lastRenderedPageBreak/>
        <w:t>废物（如带传染性微生物等），由产废单位联系有资质机构及时进行处置，处理费用由产废单位承担。</w:t>
      </w:r>
    </w:p>
    <w:p w:rsidR="00E55D14" w:rsidRDefault="00E55D14">
      <w:pPr>
        <w:spacing w:line="540" w:lineRule="exact"/>
        <w:ind w:firstLineChars="200" w:firstLine="640"/>
        <w:rPr>
          <w:rFonts w:ascii="仿宋_GB2312" w:eastAsia="仿宋_GB2312" w:hAnsi="等线"/>
          <w:sz w:val="32"/>
          <w:szCs w:val="32"/>
        </w:rPr>
      </w:pPr>
    </w:p>
    <w:p w:rsidR="00E55D14" w:rsidRDefault="00E55D14">
      <w:pPr>
        <w:numPr>
          <w:ilvl w:val="0"/>
          <w:numId w:val="1"/>
        </w:numPr>
        <w:spacing w:line="540" w:lineRule="exact"/>
        <w:ind w:left="0" w:firstLine="0"/>
        <w:jc w:val="center"/>
        <w:rPr>
          <w:rFonts w:ascii="宋体" w:hAnsi="宋体"/>
          <w:b/>
          <w:sz w:val="32"/>
          <w:szCs w:val="32"/>
        </w:rPr>
      </w:pPr>
      <w:r>
        <w:rPr>
          <w:rFonts w:ascii="宋体" w:hAnsi="宋体" w:hint="eastAsia"/>
          <w:b/>
          <w:sz w:val="32"/>
          <w:szCs w:val="32"/>
        </w:rPr>
        <w:t>附  则</w:t>
      </w:r>
    </w:p>
    <w:p w:rsidR="00E55D14" w:rsidRDefault="00E55D14">
      <w:pPr>
        <w:spacing w:line="540" w:lineRule="exact"/>
        <w:jc w:val="center"/>
        <w:rPr>
          <w:rFonts w:ascii="宋体" w:hAnsi="宋体"/>
          <w:b/>
          <w:sz w:val="32"/>
          <w:szCs w:val="32"/>
        </w:rPr>
      </w:pP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 xml:space="preserve">第二十二条  </w:t>
      </w:r>
      <w:r>
        <w:rPr>
          <w:rFonts w:ascii="仿宋_GB2312" w:eastAsia="仿宋_GB2312" w:hAnsi="等线" w:hint="eastAsia"/>
          <w:sz w:val="32"/>
          <w:szCs w:val="32"/>
        </w:rPr>
        <w:t>放射性废物、医疗废物的管理不适用本办法。</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第二十三条</w:t>
      </w:r>
      <w:r>
        <w:rPr>
          <w:rFonts w:ascii="仿宋_GB2312" w:eastAsia="仿宋_GB2312" w:hAnsi="等线" w:hint="eastAsia"/>
          <w:sz w:val="32"/>
          <w:szCs w:val="32"/>
        </w:rPr>
        <w:t xml:space="preserve">  本办法未尽事宜，按国家有关法律法规执行。</w:t>
      </w:r>
    </w:p>
    <w:p w:rsidR="00E55D14" w:rsidRDefault="00E55D14">
      <w:pPr>
        <w:spacing w:line="540" w:lineRule="exact"/>
        <w:ind w:firstLineChars="200" w:firstLine="643"/>
        <w:rPr>
          <w:rFonts w:ascii="仿宋_GB2312" w:eastAsia="仿宋_GB2312" w:hAnsi="等线"/>
          <w:sz w:val="32"/>
          <w:szCs w:val="32"/>
        </w:rPr>
      </w:pPr>
      <w:r>
        <w:rPr>
          <w:rFonts w:ascii="仿宋_GB2312" w:eastAsia="仿宋_GB2312" w:hAnsi="等线" w:hint="eastAsia"/>
          <w:b/>
          <w:sz w:val="32"/>
          <w:szCs w:val="32"/>
        </w:rPr>
        <w:t>第二十四条</w:t>
      </w:r>
      <w:r>
        <w:rPr>
          <w:rFonts w:ascii="仿宋_GB2312" w:eastAsia="仿宋_GB2312" w:hAnsi="等线" w:hint="eastAsia"/>
          <w:sz w:val="32"/>
          <w:szCs w:val="32"/>
        </w:rPr>
        <w:t xml:space="preserve">  本办法自发布之日起施行，由资产管理处负责解释。《华南农业大学实验室废弃物管理规定》（华南农办</w:t>
      </w:r>
      <w:r>
        <w:rPr>
          <w:rFonts w:ascii="仿宋_GB2312" w:eastAsia="仿宋_GB2312" w:hAnsi="宋体" w:hint="eastAsia"/>
          <w:sz w:val="32"/>
          <w:szCs w:val="32"/>
        </w:rPr>
        <w:t>〔</w:t>
      </w:r>
      <w:r>
        <w:rPr>
          <w:rFonts w:eastAsia="仿宋_GB2312"/>
          <w:sz w:val="32"/>
          <w:szCs w:val="32"/>
        </w:rPr>
        <w:t>2005</w:t>
      </w:r>
      <w:r>
        <w:rPr>
          <w:rFonts w:ascii="仿宋_GB2312" w:eastAsia="仿宋_GB2312" w:hAnsi="宋体" w:hint="eastAsia"/>
          <w:sz w:val="32"/>
          <w:szCs w:val="32"/>
        </w:rPr>
        <w:t>〕</w:t>
      </w:r>
      <w:r>
        <w:rPr>
          <w:rFonts w:eastAsia="仿宋_GB2312"/>
          <w:sz w:val="32"/>
          <w:szCs w:val="32"/>
        </w:rPr>
        <w:t>100</w:t>
      </w:r>
      <w:r>
        <w:rPr>
          <w:rFonts w:ascii="仿宋_GB2312" w:eastAsia="仿宋_GB2312" w:hAnsi="等线" w:hint="eastAsia"/>
          <w:sz w:val="32"/>
          <w:szCs w:val="32"/>
        </w:rPr>
        <w:t>号）同时废止。</w:t>
      </w:r>
    </w:p>
    <w:p w:rsidR="00E55D14" w:rsidRDefault="00E55D14"/>
    <w:p w:rsidR="00E55D14" w:rsidRDefault="00E55D14"/>
    <w:p w:rsidR="00E55D14" w:rsidRDefault="00E55D14"/>
    <w:p w:rsidR="00E55D14" w:rsidRDefault="00E55D14"/>
    <w:p w:rsidR="00E55D14" w:rsidRDefault="00E55D14"/>
    <w:p w:rsidR="00E55D14" w:rsidRDefault="00E55D14"/>
    <w:p w:rsidR="00E55D14" w:rsidRDefault="00E55D14"/>
    <w:p w:rsidR="00E55D14" w:rsidRDefault="00E55D14"/>
    <w:p w:rsidR="00E55D14" w:rsidRDefault="00E55D14"/>
    <w:p w:rsidR="00E55D14" w:rsidRDefault="00E55D14">
      <w:pPr>
        <w:rPr>
          <w:rFonts w:hint="eastAsia"/>
        </w:rPr>
      </w:pPr>
    </w:p>
    <w:p w:rsidR="00E55D14" w:rsidRDefault="00E55D14">
      <w:pPr>
        <w:rPr>
          <w:rFonts w:hint="eastAsia"/>
        </w:rPr>
      </w:pPr>
    </w:p>
    <w:p w:rsidR="00E55D14" w:rsidRDefault="00E55D14">
      <w:pPr>
        <w:rPr>
          <w:rFonts w:hint="eastAsia"/>
        </w:rPr>
      </w:pPr>
    </w:p>
    <w:p w:rsidR="00E55D14" w:rsidRDefault="00E55D14"/>
    <w:p w:rsidR="00E55D14" w:rsidRDefault="00E55D14"/>
    <w:p w:rsidR="00E55D14" w:rsidRDefault="00E55D14"/>
    <w:p w:rsidR="00E55D14" w:rsidRDefault="00E55D14"/>
    <w:p w:rsidR="00E55D14" w:rsidRDefault="00E55D14"/>
    <w:p w:rsidR="00E55D14" w:rsidRDefault="00E55D14"/>
    <w:p w:rsidR="00E55D14" w:rsidRDefault="00E55D14"/>
    <w:p w:rsidR="00E55D14" w:rsidRDefault="00E55D14"/>
    <w:p w:rsidR="00E55D14" w:rsidRDefault="00E55D14">
      <w:pPr>
        <w:spacing w:beforeLines="100" w:before="312" w:line="600" w:lineRule="exact"/>
        <w:rPr>
          <w:rFonts w:ascii="仿宋_GB2312" w:eastAsia="仿宋_GB2312" w:hAnsi="黑体"/>
          <w:sz w:val="32"/>
        </w:rPr>
      </w:pPr>
      <w:r>
        <w:rPr>
          <w:rFonts w:ascii="黑体" w:eastAsia="黑体" w:hAnsi="黑体" w:hint="eastAsia"/>
          <w:sz w:val="32"/>
        </w:rPr>
        <w:t>公开方式：</w:t>
      </w:r>
      <w:r>
        <w:rPr>
          <w:rFonts w:ascii="仿宋_GB2312" w:eastAsia="仿宋_GB2312" w:hAnsi="黑体" w:hint="eastAsia"/>
          <w:sz w:val="32"/>
        </w:rPr>
        <w:t>主动公开</w:t>
      </w:r>
    </w:p>
    <w:p w:rsidR="00E55D14" w:rsidRDefault="00A975A3">
      <w:pPr>
        <w:spacing w:line="600" w:lineRule="exact"/>
        <w:rPr>
          <w:rFonts w:ascii="仿宋_GB2312" w:eastAsia="仿宋_GB2312"/>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29210</wp:posOffset>
                </wp:positionV>
                <wp:extent cx="5600700" cy="0"/>
                <wp:effectExtent l="5715" t="6985" r="13335" b="12065"/>
                <wp:wrapNone/>
                <wp:docPr id="2"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870B" id="直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pt" to="43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yTIQIAACoEAAAOAAAAZHJzL2Uyb0RvYy54bWysU82O2yAQvlfqOyDuie2sk91YcVaVnfSy&#10;bSPt9gEI4BgVAwISJ6r6JH2NnvbSx9nX6EB+lG0vVVUf8MDMfHwz3zC733cS7bh1QqsSZ8MUI66o&#10;ZkJtSvz5aTm4w8h5ohiRWvESH7jD9/O3b2a9KfhIt1oybhGAKFf0psSt96ZIEkdb3hE31IYrcDba&#10;dsTD1m4SZkkP6J1MRmk6SXptmbGacufgtD468TziNw2n/lPTOO6RLDFw83G1cV2HNZnPSLGxxLSC&#10;nmiQf2DREaHg0gtUTTxBWyv+gOoEtdrpxg+p7hLdNILyWANUk6W/VfPYEsNjLdAcZy5tcv8Pln7c&#10;rSwSrMQjjBTpQKKX7z9enn+im9Cb3rgCQiq1sqE6uleP5kHTLw4pXbVEbXjk+HQwkJiFjORVStg4&#10;Azes+w+aQQzZeh0btW9sFyChBWgf9Thc9OB7jygcjidpepuCbPTsS0hxTjTW+fdcdygYJZZChVaR&#10;guwenA9ESHEOCcdKL4WUUW6pUF/i6Xg0jglOS8GCM4Q5u1lX0qIdCQMTv1gVeK7DrN4qFsFaTtji&#10;ZHsi5NGGy6UKeFAK0DlZx4n4Ok2ni7vFXT7IR5PFIE/revBuWeWDyTK7Hdc3dVXV2bdALcuLVjDG&#10;VWB3ns4s/zv1T+/kOFeX+by0IXmNHvsFZM//SDpqGeQ7DsJas8PKnjWGgYzBp8cTJv56D/b1E5//&#10;AgAA//8DAFBLAwQUAAYACAAAACEABNrP1dsAAAAGAQAADwAAAGRycy9kb3ducmV2LnhtbEyPQU/C&#10;QBCF7yb+h82YeCGwFQxi7ZYYtTcvgsbr0B3bxu5s6S5Q+fWMXvD45U3e+yZbDq5Ve+pD49nAzSQB&#10;RVx623Bl4H1djBegQkS22HomAz8UYJlfXmSYWn/gN9qvYqWkhEOKBuoYu1TrUNbkMEx8RyzZl+8d&#10;RsG+0rbHg5S7Vk+TZK4dNiwLNXb0VFP5vdo5A6H4oG1xHJWj5HNWeZpun19f0Jjrq+HxAVSkIZ6P&#10;4Vdf1CEXp43fsQ2qNTCeySvRwO0clMSLu3vhzR/rPNP/9fMTAAAA//8DAFBLAQItABQABgAIAAAA&#10;IQC2gziS/gAAAOEBAAATAAAAAAAAAAAAAAAAAAAAAABbQ29udGVudF9UeXBlc10ueG1sUEsBAi0A&#10;FAAGAAgAAAAhADj9If/WAAAAlAEAAAsAAAAAAAAAAAAAAAAALwEAAF9yZWxzLy5yZWxzUEsBAi0A&#10;FAAGAAgAAAAhAPgfnJMhAgAAKgQAAA4AAAAAAAAAAAAAAAAALgIAAGRycy9lMm9Eb2MueG1sUEsB&#10;Ai0AFAAGAAgAAAAhAATaz9XbAAAABgEAAA8AAAAAAAAAAAAAAAAAewQAAGRycy9kb3ducmV2Lnht&#10;bFBLBQYAAAAABAAEAPMAAACDBQAAAAA=&#10;"/>
            </w:pict>
          </mc:Fallback>
        </mc:AlternateContent>
      </w:r>
      <w:r w:rsidR="00E55D14">
        <w:rPr>
          <w:rFonts w:ascii="仿宋_GB2312" w:eastAsia="仿宋_GB2312" w:hint="eastAsia"/>
          <w:sz w:val="28"/>
          <w:szCs w:val="28"/>
        </w:rPr>
        <w:t xml:space="preserve">  华南农业大学校长办公室</w:t>
      </w:r>
      <w:r w:rsidR="00E55D14">
        <w:rPr>
          <w:rFonts w:ascii="仿宋_GB2312" w:eastAsia="仿宋_GB2312"/>
          <w:sz w:val="28"/>
          <w:szCs w:val="28"/>
        </w:rPr>
        <w:t xml:space="preserve">       </w:t>
      </w:r>
      <w:r w:rsidR="00E55D14">
        <w:rPr>
          <w:rFonts w:ascii="仿宋_GB2312" w:eastAsia="仿宋_GB2312" w:hint="eastAsia"/>
          <w:sz w:val="28"/>
          <w:szCs w:val="28"/>
        </w:rPr>
        <w:t xml:space="preserve">          </w:t>
      </w:r>
      <w:r w:rsidR="00E55D14">
        <w:rPr>
          <w:rFonts w:eastAsia="仿宋_GB2312"/>
          <w:sz w:val="28"/>
          <w:szCs w:val="28"/>
        </w:rPr>
        <w:t>201</w:t>
      </w:r>
      <w:r w:rsidR="00E55D14">
        <w:rPr>
          <w:rFonts w:eastAsia="仿宋_GB2312" w:hint="eastAsia"/>
          <w:sz w:val="28"/>
          <w:szCs w:val="28"/>
        </w:rPr>
        <w:t>9</w:t>
      </w:r>
      <w:r w:rsidR="00E55D14">
        <w:rPr>
          <w:rFonts w:ascii="仿宋_GB2312" w:eastAsia="仿宋_GB2312" w:hint="eastAsia"/>
          <w:sz w:val="28"/>
          <w:szCs w:val="28"/>
        </w:rPr>
        <w:t>年</w:t>
      </w:r>
      <w:r w:rsidR="00E55D14">
        <w:rPr>
          <w:rFonts w:eastAsia="仿宋_GB2312"/>
          <w:sz w:val="28"/>
          <w:szCs w:val="28"/>
        </w:rPr>
        <w:t>5</w:t>
      </w:r>
      <w:r w:rsidR="00E55D14">
        <w:rPr>
          <w:rFonts w:ascii="仿宋_GB2312" w:eastAsia="仿宋_GB2312" w:hint="eastAsia"/>
          <w:sz w:val="28"/>
          <w:szCs w:val="28"/>
        </w:rPr>
        <w:t>月</w:t>
      </w:r>
      <w:r w:rsidR="00E55D14">
        <w:rPr>
          <w:rFonts w:eastAsia="仿宋_GB2312"/>
          <w:sz w:val="28"/>
          <w:szCs w:val="28"/>
        </w:rPr>
        <w:t>22</w:t>
      </w:r>
      <w:r w:rsidR="00E55D14">
        <w:rPr>
          <w:rFonts w:ascii="仿宋_GB2312" w:eastAsia="仿宋_GB2312" w:hint="eastAsia"/>
          <w:sz w:val="28"/>
          <w:szCs w:val="28"/>
        </w:rPr>
        <w:t>日印发</w:t>
      </w:r>
    </w:p>
    <w:p w:rsidR="00E55D14" w:rsidRDefault="00A975A3">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5600700" cy="0"/>
                <wp:effectExtent l="5715" t="6350" r="13335" b="12700"/>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AFEF" id="直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x8IAIAACoEAAAOAAAAZHJzL2Uyb0RvYy54bWysU8GO2jAQvVfqP1i+QxIKLESEVZVAL9sW&#10;abcfYGyHWHVsyzYEVPVL+hs99dLP2d/o2BDEtpeqag7O2DPz/GbeeHF/bCU6cOuEVgXOhilGXFHN&#10;hNoV+NPTejDDyHmiGJFa8QKfuMP3y9evFp3J+Ug3WjJuEYAol3emwI33Jk8SRxveEjfUhitw1tq2&#10;xMPW7hJmSQforUxGaTpNOm2ZsZpy5+C0OjvxMuLXNaf+Y1077pEsMHDzcbVx3YY1WS5IvrPENIJe&#10;aJB/YNESoeDSK1RFPEF7K/6AagW12unaD6luE13XgvJYA1STpb9V89gQw2Mt0Bxnrm1y/w+Wfjhs&#10;LBIMtMNIkRYkev72/fnHTzQKvemMyyGkVBsbqqNH9WgeNP3skNJlQ9SOR45PJwOJWchIXqSEjTNw&#10;w7Z7rxnEkL3XsVHH2rYBElqAjlGP01UPfvSIwuFkmqZ3KchGe19C8j7RWOffcd2iYBRYChVaRXJy&#10;eHA+ECF5HxKOlV4LKaPcUqGuwPPJaBITnJaCBWcIc3a3LaVFBxIGJn6xKvDchlm9VyyCNZyw1cX2&#10;RMizDZdLFfCgFKBzsc4T8WWezlez1Ww8GI+mq8E4rarB23U5HkzX2d2kelOVZZV9DdSycd4IxrgK&#10;7PrpzMZ/p/7lnZzn6jqf1zYkL9Fjv4Bs/4+ko5ZBvvMgbDU7bWyvMQxkDL48njDxt3uwb5/48hcA&#10;AAD//wMAUEsDBBQABgAIAAAAIQDPlmDZ2AAAAAQBAAAPAAAAZHJzL2Rvd25yZXYueG1sTI/BTsMw&#10;EETvSP0HaytxqahDkGgU4lQIyI0LbRHXbbwkEfE6jd028PUsXOD4NKuZt8V6cr060Rg6zwaulwko&#10;4trbjhsDu211lYEKEdli75kMfFKAdTm7KDC3/swvdNrERkkJhxwNtDEOudahbslhWPqBWLJ3PzqM&#10;gmOj7YhnKXe9TpPkVjvsWBZaHOihpfpjc3QGQvVKh+prUS+St5vGU3p4fH5CYy7n0/0dqEhT/DuG&#10;H31Rh1Kc9v7INqjegDwSDaxSUBJmWSq8/2VdFvq/fPkNAAD//wMAUEsBAi0AFAAGAAgAAAAhALaD&#10;OJL+AAAA4QEAABMAAAAAAAAAAAAAAAAAAAAAAFtDb250ZW50X1R5cGVzXS54bWxQSwECLQAUAAYA&#10;CAAAACEAOP0h/9YAAACUAQAACwAAAAAAAAAAAAAAAAAvAQAAX3JlbHMvLnJlbHNQSwECLQAUAAYA&#10;CAAAACEAcWw8fCACAAAqBAAADgAAAAAAAAAAAAAAAAAuAgAAZHJzL2Uyb0RvYy54bWxQSwECLQAU&#10;AAYACAAAACEAz5Zg2dgAAAAEAQAADwAAAAAAAAAAAAAAAAB6BAAAZHJzL2Rvd25yZXYueG1sUEsF&#10;BgAAAAAEAAQA8wAAAH8FAAAAAA==&#10;"/>
            </w:pict>
          </mc:Fallback>
        </mc:AlternateContent>
      </w:r>
    </w:p>
    <w:sectPr w:rsidR="00E55D14">
      <w:footerReference w:type="even" r:id="rId7"/>
      <w:footerReference w:type="default" r:id="rId8"/>
      <w:pgSz w:w="11906" w:h="16838"/>
      <w:pgMar w:top="2098" w:right="1418" w:bottom="1418" w:left="164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509" w:rsidRDefault="003B0509">
      <w:r>
        <w:separator/>
      </w:r>
    </w:p>
  </w:endnote>
  <w:endnote w:type="continuationSeparator" w:id="0">
    <w:p w:rsidR="003B0509" w:rsidRDefault="003B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D14" w:rsidRDefault="00E55D14">
    <w:pPr>
      <w:pStyle w:val="a8"/>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D14" w:rsidRDefault="00E55D14">
    <w:pPr>
      <w:pStyle w:val="a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509" w:rsidRDefault="003B0509">
      <w:r>
        <w:separator/>
      </w:r>
    </w:p>
  </w:footnote>
  <w:footnote w:type="continuationSeparator" w:id="0">
    <w:p w:rsidR="003B0509" w:rsidRDefault="003B0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A5B57"/>
    <w:multiLevelType w:val="multilevel"/>
    <w:tmpl w:val="7CFA5B57"/>
    <w:lvl w:ilvl="0">
      <w:start w:val="1"/>
      <w:numFmt w:val="japaneseCounting"/>
      <w:lvlText w:val="第%1章"/>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DD"/>
    <w:rsid w:val="00000E73"/>
    <w:rsid w:val="003B0509"/>
    <w:rsid w:val="00487C19"/>
    <w:rsid w:val="00724853"/>
    <w:rsid w:val="00775A0C"/>
    <w:rsid w:val="00947612"/>
    <w:rsid w:val="009D4180"/>
    <w:rsid w:val="00A912F6"/>
    <w:rsid w:val="00A975A3"/>
    <w:rsid w:val="00B968DD"/>
    <w:rsid w:val="00BF13EF"/>
    <w:rsid w:val="00C62F7D"/>
    <w:rsid w:val="00D17C35"/>
    <w:rsid w:val="00E55D14"/>
    <w:rsid w:val="47D075EA"/>
    <w:rsid w:val="6B34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8B05A2A0-67DF-436B-993A-98112F77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qFormat/>
    <w:rPr>
      <w:rFonts w:ascii="Times New Roman" w:eastAsia="宋体" w:hAnsi="Times New Roman" w:cs="Times New Roman"/>
      <w:sz w:val="18"/>
      <w:szCs w:val="18"/>
    </w:rPr>
  </w:style>
  <w:style w:type="character" w:customStyle="1" w:styleId="a5">
    <w:name w:val="页眉 字符"/>
    <w:link w:val="a6"/>
    <w:uiPriority w:val="99"/>
    <w:semiHidden/>
    <w:rPr>
      <w:sz w:val="18"/>
      <w:szCs w:val="18"/>
    </w:rPr>
  </w:style>
  <w:style w:type="character" w:customStyle="1" w:styleId="a7">
    <w:name w:val="页脚 字符"/>
    <w:link w:val="a8"/>
    <w:uiPriority w:val="99"/>
    <w:rPr>
      <w:sz w:val="18"/>
      <w:szCs w:val="18"/>
    </w:rPr>
  </w:style>
  <w:style w:type="paragraph" w:styleId="a6">
    <w:name w:val="header"/>
    <w:basedOn w:val="a"/>
    <w:link w:val="a5"/>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er"/>
    <w:basedOn w:val="a"/>
    <w:link w:val="a7"/>
    <w:uiPriority w:val="99"/>
    <w:unhideWhenUsed/>
    <w:pPr>
      <w:tabs>
        <w:tab w:val="center" w:pos="4153"/>
        <w:tab w:val="right" w:pos="8306"/>
      </w:tabs>
      <w:snapToGrid w:val="0"/>
      <w:jc w:val="left"/>
    </w:pPr>
    <w:rPr>
      <w:sz w:val="18"/>
      <w:szCs w:val="18"/>
    </w:rPr>
  </w:style>
  <w:style w:type="paragraph" w:styleId="a4">
    <w:name w:val="Balloon Text"/>
    <w:basedOn w:val="a"/>
    <w:link w:val="a3"/>
    <w:uiPriority w:val="99"/>
    <w:unhideWhenUsed/>
    <w:rPr>
      <w:sz w:val="18"/>
      <w:szCs w:val="18"/>
    </w:rPr>
  </w:style>
  <w:style w:type="paragraph" w:customStyle="1" w:styleId="Style7">
    <w:name w:val="_Style 7"/>
    <w:basedOn w:val="a"/>
    <w:next w:val="a9"/>
    <w:uiPriority w:val="34"/>
    <w:qFormat/>
    <w:pPr>
      <w:ind w:firstLineChars="200" w:firstLine="420"/>
    </w:pPr>
    <w:rPr>
      <w:rFonts w:ascii="Calibri" w:hAnsi="Calibri"/>
      <w:szCs w:val="22"/>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秘书科发文岗</dc:creator>
  <cp:keywords/>
  <cp:lastModifiedBy>徐超</cp:lastModifiedBy>
  <cp:revision>2</cp:revision>
  <cp:lastPrinted>2019-05-22T08:09:00Z</cp:lastPrinted>
  <dcterms:created xsi:type="dcterms:W3CDTF">2019-05-23T09:57:00Z</dcterms:created>
  <dcterms:modified xsi:type="dcterms:W3CDTF">2019-05-23T09:57:00Z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