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23BD9">
      <w:pPr>
        <w:widowControl/>
        <w:spacing w:line="520" w:lineRule="exact"/>
        <w:rPr>
          <w:rFonts w:hint="default" w:asciiTheme="minorEastAsia" w:hAnsiTheme="minorEastAsia"/>
          <w:color w:val="000000" w:themeColor="text1"/>
          <w:sz w:val="30"/>
          <w:szCs w:val="30"/>
          <w:lang w:val="en-US"/>
          <w14:textFill>
            <w14:solidFill>
              <w14:schemeClr w14:val="tx1"/>
            </w14:solidFill>
          </w14:textFill>
        </w:rPr>
      </w:pPr>
      <w:bookmarkStart w:id="0" w:name="_Hlk66111534"/>
      <w:r>
        <w:rPr>
          <w:rFonts w:hint="eastAsia" w:asciiTheme="minorEastAsia" w:hAnsiTheme="minorEastAsia"/>
          <w:color w:val="000000" w:themeColor="text1"/>
          <w:sz w:val="30"/>
          <w:szCs w:val="30"/>
          <w:lang w:bidi="zh-CN"/>
          <w14:textFill>
            <w14:solidFill>
              <w14:schemeClr w14:val="tx1"/>
            </w14:solidFill>
          </w14:textFill>
        </w:rPr>
        <w:t>附件：</w:t>
      </w:r>
      <w: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t>双室低厌氧工作站</w:t>
      </w: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主要技术参数</w:t>
      </w:r>
    </w:p>
    <w:p w14:paraId="04DA997B">
      <w:pPr>
        <w:pStyle w:val="25"/>
        <w:tabs>
          <w:tab w:val="left" w:pos="1775"/>
        </w:tabs>
        <w:autoSpaceDE w:val="0"/>
        <w:autoSpaceDN w:val="0"/>
        <w:spacing w:line="520" w:lineRule="exact"/>
        <w:ind w:left="560" w:firstLine="0" w:firstLineChars="0"/>
        <w:rPr>
          <w:rFonts w:hint="eastAsia" w:ascii="仿宋_GB2312" w:hAnsi="仿宋" w:eastAsia="仿宋_GB2312"/>
          <w:color w:val="000000" w:themeColor="text1"/>
          <w:sz w:val="32"/>
          <w:szCs w:val="32"/>
          <w14:textFill>
            <w14:solidFill>
              <w14:schemeClr w14:val="tx1"/>
            </w14:solidFill>
          </w14:textFill>
        </w:rPr>
      </w:pPr>
    </w:p>
    <w:tbl>
      <w:tblPr>
        <w:tblStyle w:val="20"/>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11"/>
        <w:gridCol w:w="2686"/>
        <w:gridCol w:w="2268"/>
        <w:gridCol w:w="2447"/>
      </w:tblGrid>
      <w:tr w14:paraId="38BAC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229" w:type="dxa"/>
            <w:gridSpan w:val="2"/>
            <w:vAlign w:val="center"/>
          </w:tcPr>
          <w:p w14:paraId="513EAF37">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仪器设备中文名称</w:t>
            </w:r>
          </w:p>
        </w:tc>
        <w:tc>
          <w:tcPr>
            <w:tcW w:w="7401" w:type="dxa"/>
            <w:gridSpan w:val="3"/>
            <w:tcBorders>
              <w:right w:val="single" w:color="000000" w:sz="6" w:space="0"/>
            </w:tcBorders>
            <w:vAlign w:val="center"/>
          </w:tcPr>
          <w:p w14:paraId="6CD4BF46">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t>双室低厌氧工作站</w:t>
            </w:r>
          </w:p>
        </w:tc>
      </w:tr>
      <w:tr w14:paraId="7DBA5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229" w:type="dxa"/>
            <w:gridSpan w:val="2"/>
            <w:vAlign w:val="center"/>
          </w:tcPr>
          <w:p w14:paraId="70B0A1FB">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仪器设备外文名称</w:t>
            </w:r>
          </w:p>
        </w:tc>
        <w:tc>
          <w:tcPr>
            <w:tcW w:w="7401" w:type="dxa"/>
            <w:gridSpan w:val="3"/>
            <w:tcBorders>
              <w:right w:val="single" w:color="000000" w:sz="6" w:space="0"/>
            </w:tcBorders>
            <w:vAlign w:val="center"/>
          </w:tcPr>
          <w:p w14:paraId="434308EE">
            <w:pPr>
              <w:autoSpaceDE w:val="0"/>
              <w:autoSpaceDN w:val="0"/>
              <w:spacing w:line="520" w:lineRule="exact"/>
              <w:jc w:val="center"/>
              <w:rPr>
                <w:rFonts w:hint="eastAsia" w:cs="宋体" w:asciiTheme="minorEastAsia" w:hAnsiTheme="minorEastAsia"/>
                <w:color w:val="000000" w:themeColor="text1"/>
                <w:kern w:val="0"/>
                <w:sz w:val="24"/>
                <w:szCs w:val="24"/>
                <w:lang w:eastAsia="en-US" w:bidi="zh-CN"/>
                <w14:textFill>
                  <w14:solidFill>
                    <w14:schemeClr w14:val="tx1"/>
                  </w14:solidFill>
                </w14:textFill>
              </w:rPr>
            </w:pPr>
            <w:r>
              <w:rPr>
                <w:rFonts w:cs="宋体" w:asciiTheme="minorEastAsia" w:hAnsiTheme="minorEastAsia"/>
                <w:color w:val="000000" w:themeColor="text1"/>
                <w:kern w:val="0"/>
                <w:sz w:val="24"/>
                <w:szCs w:val="24"/>
                <w:lang w:eastAsia="en-US" w:bidi="zh-CN"/>
                <w14:textFill>
                  <w14:solidFill>
                    <w14:schemeClr w14:val="tx1"/>
                  </w14:solidFill>
                </w14:textFill>
              </w:rPr>
              <w:t xml:space="preserve">Dual-chamber </w:t>
            </w:r>
            <w:r>
              <w:rPr>
                <w:rFonts w:hint="eastAsia" w:cs="宋体" w:asciiTheme="minorEastAsia" w:hAnsiTheme="minorEastAsia"/>
                <w:color w:val="000000" w:themeColor="text1"/>
                <w:kern w:val="0"/>
                <w:sz w:val="24"/>
                <w:szCs w:val="24"/>
                <w:lang w:eastAsia="en-US" w:bidi="zh-CN"/>
                <w14:textFill>
                  <w14:solidFill>
                    <w14:schemeClr w14:val="tx1"/>
                  </w14:solidFill>
                </w14:textFill>
              </w:rPr>
              <w:t>h</w:t>
            </w:r>
            <w:r>
              <w:rPr>
                <w:rFonts w:cs="宋体" w:asciiTheme="minorEastAsia" w:hAnsiTheme="minorEastAsia"/>
                <w:color w:val="000000" w:themeColor="text1"/>
                <w:kern w:val="0"/>
                <w:sz w:val="24"/>
                <w:szCs w:val="24"/>
                <w:lang w:eastAsia="en-US" w:bidi="zh-CN"/>
                <w14:textFill>
                  <w14:solidFill>
                    <w14:schemeClr w14:val="tx1"/>
                  </w14:solidFill>
                </w14:textFill>
              </w:rPr>
              <w:t>ypoxia and anoxia workstation</w:t>
            </w:r>
          </w:p>
        </w:tc>
      </w:tr>
      <w:tr w14:paraId="0865F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229" w:type="dxa"/>
            <w:gridSpan w:val="2"/>
            <w:vAlign w:val="center"/>
          </w:tcPr>
          <w:p w14:paraId="05A70EB0">
            <w:pPr>
              <w:autoSpaceDE w:val="0"/>
              <w:autoSpaceDN w:val="0"/>
              <w:spacing w:line="520" w:lineRule="exact"/>
              <w:jc w:val="center"/>
              <w:rPr>
                <w:rFonts w:hint="default" w:cs="宋体" w:asciiTheme="minorEastAsia" w:hAnsiTheme="minorEastAsia"/>
                <w:b/>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预算金额人民币</w:t>
            </w:r>
          </w:p>
        </w:tc>
        <w:tc>
          <w:tcPr>
            <w:tcW w:w="7401" w:type="dxa"/>
            <w:gridSpan w:val="3"/>
            <w:tcBorders>
              <w:right w:val="single" w:color="000000" w:sz="6" w:space="0"/>
            </w:tcBorders>
            <w:vAlign w:val="center"/>
          </w:tcPr>
          <w:p w14:paraId="061265EF">
            <w:pPr>
              <w:autoSpaceDE w:val="0"/>
              <w:autoSpaceDN w:val="0"/>
              <w:spacing w:line="520" w:lineRule="exact"/>
              <w:jc w:val="center"/>
              <w:rPr>
                <w:rFonts w:hint="default" w:cs="宋体" w:asciiTheme="minorEastAsia" w:hAnsiTheme="minorEastAsia"/>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color w:val="000000" w:themeColor="text1"/>
                <w:kern w:val="0"/>
                <w:sz w:val="24"/>
                <w:szCs w:val="24"/>
                <w:lang w:val="en-US" w:eastAsia="en-US" w:bidi="zh-CN"/>
                <w14:textFill>
                  <w14:solidFill>
                    <w14:schemeClr w14:val="tx1"/>
                  </w14:solidFill>
                </w14:textFill>
              </w:rPr>
              <w:t>40万元/台</w:t>
            </w:r>
          </w:p>
        </w:tc>
      </w:tr>
      <w:tr w14:paraId="65298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229" w:type="dxa"/>
            <w:gridSpan w:val="2"/>
            <w:vAlign w:val="center"/>
          </w:tcPr>
          <w:p w14:paraId="544FFD78">
            <w:pPr>
              <w:autoSpaceDE w:val="0"/>
              <w:autoSpaceDN w:val="0"/>
              <w:spacing w:line="520" w:lineRule="exact"/>
              <w:jc w:val="center"/>
              <w:rPr>
                <w:rFonts w:hint="default" w:cs="宋体" w:asciiTheme="minorEastAsia" w:hAnsiTheme="minorEastAsia"/>
                <w:b/>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申购学院</w:t>
            </w:r>
          </w:p>
        </w:tc>
        <w:tc>
          <w:tcPr>
            <w:tcW w:w="7401" w:type="dxa"/>
            <w:gridSpan w:val="3"/>
            <w:tcBorders>
              <w:right w:val="single" w:color="000000" w:sz="6" w:space="0"/>
            </w:tcBorders>
            <w:vAlign w:val="center"/>
          </w:tcPr>
          <w:p w14:paraId="536BB6EC">
            <w:pPr>
              <w:autoSpaceDE w:val="0"/>
              <w:autoSpaceDN w:val="0"/>
              <w:spacing w:line="520" w:lineRule="exact"/>
              <w:jc w:val="center"/>
              <w:rPr>
                <w:rFonts w:hint="default" w:cs="宋体" w:asciiTheme="minorEastAsia" w:hAnsiTheme="minorEastAsia"/>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color w:val="000000" w:themeColor="text1"/>
                <w:kern w:val="0"/>
                <w:sz w:val="24"/>
                <w:szCs w:val="24"/>
                <w:lang w:val="en-US" w:eastAsia="en-US" w:bidi="zh-CN"/>
                <w14:textFill>
                  <w14:solidFill>
                    <w14:schemeClr w14:val="tx1"/>
                  </w14:solidFill>
                </w14:textFill>
              </w:rPr>
              <w:t>动物科学学院</w:t>
            </w:r>
          </w:p>
        </w:tc>
      </w:tr>
      <w:tr w14:paraId="7BD87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229" w:type="dxa"/>
            <w:gridSpan w:val="2"/>
            <w:vAlign w:val="center"/>
          </w:tcPr>
          <w:p w14:paraId="237D427B">
            <w:pPr>
              <w:autoSpaceDE w:val="0"/>
              <w:autoSpaceDN w:val="0"/>
              <w:spacing w:line="520" w:lineRule="exact"/>
              <w:jc w:val="center"/>
              <w:rPr>
                <w:rFonts w:hint="default" w:cs="宋体" w:asciiTheme="minorEastAsia" w:hAnsiTheme="minorEastAsia"/>
                <w:b/>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en-US" w:eastAsia="en-US" w:bidi="zh-CN"/>
                <w14:textFill>
                  <w14:solidFill>
                    <w14:schemeClr w14:val="tx1"/>
                  </w14:solidFill>
                </w14:textFill>
              </w:rPr>
              <w:t>申购结果</w:t>
            </w:r>
          </w:p>
        </w:tc>
        <w:tc>
          <w:tcPr>
            <w:tcW w:w="7401" w:type="dxa"/>
            <w:gridSpan w:val="3"/>
            <w:tcBorders>
              <w:right w:val="single" w:color="000000" w:sz="6" w:space="0"/>
            </w:tcBorders>
            <w:vAlign w:val="center"/>
          </w:tcPr>
          <w:p w14:paraId="2FCF722D">
            <w:pPr>
              <w:autoSpaceDE w:val="0"/>
              <w:autoSpaceDN w:val="0"/>
              <w:spacing w:line="520" w:lineRule="exact"/>
              <w:jc w:val="center"/>
              <w:rPr>
                <w:rFonts w:hint="default" w:cs="宋体" w:asciiTheme="minorEastAsia" w:hAnsiTheme="minorEastAsia"/>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color w:val="000000" w:themeColor="text1"/>
                <w:kern w:val="0"/>
                <w:sz w:val="24"/>
                <w:szCs w:val="24"/>
                <w:lang w:val="en-US" w:eastAsia="en-US" w:bidi="zh-CN"/>
                <w14:textFill>
                  <w14:solidFill>
                    <w14:schemeClr w14:val="tx1"/>
                  </w14:solidFill>
                </w14:textFill>
              </w:rPr>
              <w:t>拟同意申购</w:t>
            </w:r>
          </w:p>
        </w:tc>
      </w:tr>
      <w:tr w14:paraId="5C08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2229" w:type="dxa"/>
            <w:gridSpan w:val="2"/>
            <w:vAlign w:val="center"/>
          </w:tcPr>
          <w:p w14:paraId="70CBBAD2">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申购数量</w:t>
            </w:r>
          </w:p>
        </w:tc>
        <w:tc>
          <w:tcPr>
            <w:tcW w:w="2686" w:type="dxa"/>
            <w:vAlign w:val="center"/>
          </w:tcPr>
          <w:p w14:paraId="52CAEC38">
            <w:pPr>
              <w:autoSpaceDE w:val="0"/>
              <w:autoSpaceDN w:val="0"/>
              <w:spacing w:line="520" w:lineRule="exact"/>
              <w:jc w:val="center"/>
              <w:rPr>
                <w:rFonts w:hint="default" w:cs="宋体" w:asciiTheme="minorEastAsia" w:hAnsiTheme="minorEastAsia"/>
                <w:color w:val="000000" w:themeColor="text1"/>
                <w:kern w:val="0"/>
                <w:sz w:val="24"/>
                <w:szCs w:val="24"/>
                <w:lang w:val="en-US" w:eastAsia="en-US" w:bidi="zh-CN"/>
                <w14:textFill>
                  <w14:solidFill>
                    <w14:schemeClr w14:val="tx1"/>
                  </w14:solidFill>
                </w14:textFill>
              </w:rPr>
            </w:pPr>
            <w:r>
              <w:rPr>
                <w:rFonts w:hint="eastAsia" w:cs="宋体" w:asciiTheme="minorEastAsia" w:hAnsiTheme="minorEastAsia"/>
                <w:color w:val="000000" w:themeColor="text1"/>
                <w:kern w:val="0"/>
                <w:sz w:val="24"/>
                <w:szCs w:val="24"/>
                <w:lang w:val="zh-CN" w:eastAsia="en-US" w:bidi="zh-CN"/>
                <w14:textFill>
                  <w14:solidFill>
                    <w14:schemeClr w14:val="tx1"/>
                  </w14:solidFill>
                </w14:textFill>
              </w:rPr>
              <w:t>2</w:t>
            </w:r>
            <w:r>
              <w:rPr>
                <w:rFonts w:hint="eastAsia" w:cs="宋体" w:asciiTheme="minorEastAsia" w:hAnsiTheme="minorEastAsia"/>
                <w:color w:val="000000" w:themeColor="text1"/>
                <w:kern w:val="0"/>
                <w:sz w:val="24"/>
                <w:szCs w:val="24"/>
                <w:lang w:val="en-US" w:eastAsia="en-US" w:bidi="zh-CN"/>
                <w14:textFill>
                  <w14:solidFill>
                    <w14:schemeClr w14:val="tx1"/>
                  </w14:solidFill>
                </w14:textFill>
              </w:rPr>
              <w:t>台</w:t>
            </w:r>
            <w:bookmarkStart w:id="1" w:name="_GoBack"/>
            <w:bookmarkEnd w:id="1"/>
          </w:p>
        </w:tc>
        <w:tc>
          <w:tcPr>
            <w:tcW w:w="2268" w:type="dxa"/>
            <w:vAlign w:val="center"/>
          </w:tcPr>
          <w:p w14:paraId="4DD509C4">
            <w:pPr>
              <w:autoSpaceDE w:val="0"/>
              <w:autoSpaceDN w:val="0"/>
              <w:spacing w:line="520" w:lineRule="exact"/>
              <w:jc w:val="center"/>
              <w:rPr>
                <w:rFonts w:hint="eastAsia" w:cs="宋体" w:asciiTheme="minorEastAsia" w:hAnsiTheme="minorEastAsia"/>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是否进口设备</w:t>
            </w:r>
          </w:p>
        </w:tc>
        <w:tc>
          <w:tcPr>
            <w:tcW w:w="2447" w:type="dxa"/>
            <w:tcBorders>
              <w:right w:val="single" w:color="000000" w:sz="6" w:space="0"/>
            </w:tcBorders>
            <w:vAlign w:val="center"/>
          </w:tcPr>
          <w:p w14:paraId="00E493DA">
            <w:pPr>
              <w:autoSpaceDE w:val="0"/>
              <w:autoSpaceDN w:val="0"/>
              <w:spacing w:line="520" w:lineRule="exact"/>
              <w:jc w:val="center"/>
              <w:rPr>
                <w:rFonts w:hint="eastAsia" w:cs="宋体" w:asciiTheme="minorEastAsia" w:hAnsiTheme="minorEastAsia"/>
                <w:color w:val="000000" w:themeColor="text1"/>
                <w:kern w:val="0"/>
                <w:sz w:val="24"/>
                <w:szCs w:val="24"/>
                <w:lang w:val="zh-CN" w:eastAsia="en-US" w:bidi="zh-CN"/>
                <w14:textFill>
                  <w14:solidFill>
                    <w14:schemeClr w14:val="tx1"/>
                  </w14:solidFill>
                </w14:textFill>
              </w:rPr>
            </w:pPr>
            <w: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t xml:space="preserve">是□  </w:t>
            </w:r>
            <w:r>
              <w:rPr>
                <w:rFonts w:cs="宋体" w:asciiTheme="minorEastAsia" w:hAnsiTheme="minorEastAsia"/>
                <w:b/>
                <w:color w:val="000000" w:themeColor="text1"/>
                <w:kern w:val="0"/>
                <w:sz w:val="24"/>
                <w:szCs w:val="24"/>
                <w:lang w:val="zh-CN" w:eastAsia="en-US" w:bidi="zh-CN"/>
                <w14:textFill>
                  <w14:solidFill>
                    <w14:schemeClr w14:val="tx1"/>
                  </w14:solidFill>
                </w14:textFill>
              </w:rPr>
              <w:t xml:space="preserve">  </w:t>
            </w:r>
            <w: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t>否</w:t>
            </w:r>
            <w:r>
              <w:rPr>
                <w:rFonts w:ascii="Segoe UI Symbol" w:hAnsi="Segoe UI Symbol" w:cs="Segoe UI Symbol"/>
                <w:b/>
                <w:color w:val="000000" w:themeColor="text1"/>
                <w:kern w:val="0"/>
                <w:sz w:val="24"/>
                <w:szCs w:val="24"/>
                <w:lang w:val="zh-CN" w:eastAsia="en-US" w:bidi="zh-CN"/>
                <w14:textFill>
                  <w14:solidFill>
                    <w14:schemeClr w14:val="tx1"/>
                  </w14:solidFill>
                </w14:textFill>
              </w:rPr>
              <w:t>☑</w:t>
            </w:r>
          </w:p>
        </w:tc>
      </w:tr>
      <w:tr w14:paraId="44CEF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jc w:val="center"/>
        </w:trPr>
        <w:tc>
          <w:tcPr>
            <w:tcW w:w="1118" w:type="dxa"/>
            <w:vAlign w:val="center"/>
          </w:tcPr>
          <w:p w14:paraId="3E9DDBE0">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主要</w:t>
            </w:r>
          </w:p>
          <w:p w14:paraId="4908ED1A">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技术</w:t>
            </w:r>
          </w:p>
          <w:p w14:paraId="767CD848">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指标</w:t>
            </w:r>
          </w:p>
        </w:tc>
        <w:tc>
          <w:tcPr>
            <w:tcW w:w="8512" w:type="dxa"/>
            <w:gridSpan w:val="4"/>
            <w:tcBorders>
              <w:right w:val="single" w:color="000000" w:sz="6" w:space="0"/>
            </w:tcBorders>
            <w:vAlign w:val="center"/>
          </w:tcPr>
          <w:p w14:paraId="2E823A31">
            <w:pPr>
              <w:autoSpaceDE w:val="0"/>
              <w:autoSpaceDN w:val="0"/>
              <w:spacing w:line="360" w:lineRule="auto"/>
              <w:jc w:val="both"/>
              <w:rPr>
                <w:rFonts w:hint="eastAsia" w:ascii="宋体" w:hAnsi="宋体"/>
                <w:sz w:val="22"/>
                <w:lang w:eastAsia="zh-CN"/>
              </w:rPr>
            </w:pPr>
            <w:r>
              <w:rPr>
                <w:rFonts w:hint="eastAsia" w:ascii="宋体" w:hAnsi="宋体"/>
                <w:sz w:val="22"/>
                <w:lang w:eastAsia="zh-CN"/>
              </w:rPr>
              <w:t>1.工作站外部尺寸：宽180</w:t>
            </w:r>
            <w:r>
              <w:rPr>
                <w:rFonts w:ascii="宋体" w:hAnsi="宋体"/>
                <w:sz w:val="22"/>
                <w:lang w:eastAsia="zh-CN"/>
              </w:rPr>
              <w:t>0</w:t>
            </w:r>
            <w:r>
              <w:rPr>
                <w:rFonts w:hint="eastAsia" w:ascii="宋体" w:hAnsi="宋体"/>
                <w:sz w:val="22"/>
                <w:lang w:eastAsia="zh-CN"/>
              </w:rPr>
              <w:t>mm，高8</w:t>
            </w:r>
            <w:r>
              <w:rPr>
                <w:rFonts w:ascii="宋体" w:hAnsi="宋体"/>
                <w:sz w:val="22"/>
                <w:lang w:eastAsia="zh-CN"/>
              </w:rPr>
              <w:t>00</w:t>
            </w:r>
            <w:r>
              <w:rPr>
                <w:rFonts w:hint="eastAsia" w:ascii="宋体" w:hAnsi="宋体"/>
                <w:sz w:val="22"/>
                <w:lang w:eastAsia="zh-CN"/>
              </w:rPr>
              <w:t>mm，深75</w:t>
            </w:r>
            <w:r>
              <w:rPr>
                <w:rFonts w:ascii="宋体" w:hAnsi="宋体"/>
                <w:sz w:val="22"/>
                <w:lang w:eastAsia="zh-CN"/>
              </w:rPr>
              <w:t>0</w:t>
            </w:r>
            <w:r>
              <w:rPr>
                <w:rFonts w:hint="eastAsia" w:ascii="宋体" w:hAnsi="宋体"/>
                <w:sz w:val="22"/>
                <w:lang w:eastAsia="zh-CN"/>
              </w:rPr>
              <w:t>mm；单个工作室内部尺寸：宽80</w:t>
            </w:r>
            <w:r>
              <w:rPr>
                <w:rFonts w:ascii="宋体" w:hAnsi="宋体"/>
                <w:sz w:val="22"/>
                <w:lang w:eastAsia="zh-CN"/>
              </w:rPr>
              <w:t>0</w:t>
            </w:r>
            <w:r>
              <w:rPr>
                <w:rFonts w:hint="eastAsia" w:ascii="宋体" w:hAnsi="宋体"/>
                <w:sz w:val="22"/>
                <w:lang w:eastAsia="zh-CN"/>
              </w:rPr>
              <w:t>mm，高650mm，深6</w:t>
            </w:r>
            <w:r>
              <w:rPr>
                <w:rFonts w:ascii="宋体" w:hAnsi="宋体"/>
                <w:sz w:val="22"/>
                <w:lang w:eastAsia="zh-CN"/>
              </w:rPr>
              <w:t>50</w:t>
            </w:r>
            <w:r>
              <w:rPr>
                <w:rFonts w:hint="eastAsia" w:ascii="宋体" w:hAnsi="宋体"/>
                <w:sz w:val="22"/>
                <w:lang w:eastAsia="zh-CN"/>
              </w:rPr>
              <w:t>mm，内部有效容积</w:t>
            </w:r>
            <w:r>
              <w:rPr>
                <w:rFonts w:ascii="宋体" w:hAnsi="宋体" w:cs="Calibri"/>
                <w:sz w:val="22"/>
                <w:lang w:eastAsia="zh-CN"/>
              </w:rPr>
              <w:t>≥</w:t>
            </w:r>
            <w:r>
              <w:rPr>
                <w:rFonts w:hint="eastAsia" w:ascii="宋体" w:hAnsi="宋体"/>
                <w:sz w:val="22"/>
                <w:lang w:eastAsia="zh-CN"/>
              </w:rPr>
              <w:t>300L；两个工作室通过中间转移舱连接，实现两个工作室单独使用/同时使用以及通过转移舱联合使用，两个工作室可以分别控制不同的氧气浓度/二氧化碳浓度/温度以及湿度；</w:t>
            </w:r>
          </w:p>
          <w:p w14:paraId="54FF4357">
            <w:pPr>
              <w:pStyle w:val="25"/>
              <w:autoSpaceDE w:val="0"/>
              <w:autoSpaceDN w:val="0"/>
              <w:spacing w:line="360" w:lineRule="auto"/>
              <w:ind w:firstLine="0" w:firstLineChars="0"/>
              <w:rPr>
                <w:rFonts w:hint="eastAsia" w:ascii="宋体" w:hAnsi="宋体"/>
                <w:sz w:val="22"/>
                <w:lang w:eastAsia="zh-CN"/>
              </w:rPr>
            </w:pPr>
            <w:r>
              <w:rPr>
                <w:rFonts w:hint="eastAsia" w:ascii="宋体" w:hAnsi="宋体"/>
                <w:sz w:val="22"/>
                <w:lang w:eastAsia="zh-CN"/>
              </w:rPr>
              <w:t>2.转移舱：有效体积</w:t>
            </w:r>
            <w:r>
              <w:rPr>
                <w:rFonts w:ascii="宋体" w:hAnsi="宋体" w:cs="Calibri"/>
                <w:sz w:val="22"/>
                <w:lang w:eastAsia="zh-CN"/>
              </w:rPr>
              <w:t>≥</w:t>
            </w:r>
            <w:r>
              <w:rPr>
                <w:rFonts w:hint="eastAsia" w:ascii="宋体" w:hAnsi="宋体"/>
                <w:sz w:val="22"/>
                <w:lang w:eastAsia="zh-CN"/>
              </w:rPr>
              <w:t>15L，最大转移量60标准皿/次，转移舱内外门透明，而且智能互锁，转移舱内置单独氧气探头，氧气浓度显示在屏幕上，实时监测转移舱内部氧气浓度，保证每次达到和内部氧气环境一致再转移；</w:t>
            </w:r>
          </w:p>
          <w:p w14:paraId="5FC73CC4">
            <w:pPr>
              <w:pStyle w:val="25"/>
              <w:autoSpaceDE w:val="0"/>
              <w:autoSpaceDN w:val="0"/>
              <w:spacing w:line="360" w:lineRule="auto"/>
              <w:ind w:firstLine="0" w:firstLineChars="0"/>
              <w:rPr>
                <w:rFonts w:hint="eastAsia" w:ascii="宋体" w:hAnsi="宋体"/>
                <w:sz w:val="22"/>
                <w:lang w:eastAsia="zh-CN"/>
              </w:rPr>
            </w:pPr>
            <w:r>
              <w:rPr>
                <w:rFonts w:hint="eastAsia" w:ascii="宋体" w:hAnsi="宋体"/>
                <w:sz w:val="22"/>
                <w:lang w:eastAsia="zh-CN"/>
              </w:rPr>
              <w:t>3. 气体控制：氧气控制：0.0-2</w:t>
            </w:r>
            <w:r>
              <w:rPr>
                <w:rFonts w:ascii="宋体" w:hAnsi="宋体"/>
                <w:sz w:val="22"/>
                <w:lang w:eastAsia="zh-CN"/>
              </w:rPr>
              <w:t>0</w:t>
            </w:r>
            <w:r>
              <w:rPr>
                <w:rFonts w:hint="eastAsia" w:ascii="宋体" w:hAnsi="宋体"/>
                <w:sz w:val="22"/>
                <w:lang w:eastAsia="zh-CN"/>
              </w:rPr>
              <w:t>%，调节精度0</w:t>
            </w:r>
            <w:r>
              <w:rPr>
                <w:rFonts w:ascii="宋体" w:hAnsi="宋体"/>
                <w:sz w:val="22"/>
                <w:lang w:eastAsia="zh-CN"/>
              </w:rPr>
              <w:t>.1%</w:t>
            </w:r>
            <w:r>
              <w:rPr>
                <w:rFonts w:hint="eastAsia" w:ascii="宋体" w:hAnsi="宋体"/>
                <w:sz w:val="22"/>
                <w:lang w:eastAsia="zh-CN"/>
              </w:rPr>
              <w:t>，显示精度0.01%，兼低氧</w:t>
            </w:r>
            <w:r>
              <w:rPr>
                <w:rFonts w:hint="eastAsia" w:asciiTheme="minorEastAsia" w:hAnsiTheme="minorEastAsia"/>
                <w:sz w:val="22"/>
                <w:lang w:eastAsia="zh-CN"/>
              </w:rPr>
              <w:t>、</w:t>
            </w:r>
            <w:r>
              <w:rPr>
                <w:rFonts w:hint="eastAsia" w:ascii="宋体" w:hAnsi="宋体"/>
                <w:sz w:val="22"/>
                <w:lang w:eastAsia="zh-CN"/>
              </w:rPr>
              <w:t>微需氧以及纯厌氧功能；二氧化碳控制：0.0-</w:t>
            </w:r>
            <w:r>
              <w:rPr>
                <w:rFonts w:ascii="宋体" w:hAnsi="宋体"/>
                <w:sz w:val="22"/>
                <w:lang w:eastAsia="zh-CN"/>
              </w:rPr>
              <w:t>2</w:t>
            </w:r>
            <w:r>
              <w:rPr>
                <w:rFonts w:hint="eastAsia" w:ascii="宋体" w:hAnsi="宋体"/>
                <w:sz w:val="22"/>
                <w:lang w:eastAsia="zh-CN"/>
              </w:rPr>
              <w:t>0%，调节精度0</w:t>
            </w:r>
            <w:r>
              <w:rPr>
                <w:rFonts w:ascii="宋体" w:hAnsi="宋体"/>
                <w:sz w:val="22"/>
                <w:lang w:eastAsia="zh-CN"/>
              </w:rPr>
              <w:t>.1%</w:t>
            </w:r>
            <w:r>
              <w:rPr>
                <w:rFonts w:hint="eastAsia" w:ascii="宋体" w:hAnsi="宋体"/>
                <w:sz w:val="22"/>
                <w:lang w:eastAsia="zh-CN"/>
              </w:rPr>
              <w:t>，显示精度0.1%，可选择是否控制；</w:t>
            </w:r>
          </w:p>
          <w:p w14:paraId="79731513">
            <w:pPr>
              <w:autoSpaceDE w:val="0"/>
              <w:autoSpaceDN w:val="0"/>
              <w:spacing w:line="520" w:lineRule="exact"/>
              <w:rPr>
                <w:rFonts w:hint="eastAsia" w:ascii="宋体" w:hAnsi="宋体"/>
                <w:sz w:val="22"/>
                <w:lang w:eastAsia="zh-CN"/>
              </w:rPr>
            </w:pPr>
            <w:r>
              <w:rPr>
                <w:rFonts w:hint="eastAsia" w:cs="宋体" w:asciiTheme="minorEastAsia" w:hAnsiTheme="minorEastAsia"/>
                <w:color w:val="000000" w:themeColor="text1"/>
                <w:kern w:val="0"/>
                <w:szCs w:val="21"/>
                <w:lang w:eastAsia="zh-CN" w:bidi="zh-CN"/>
                <w14:textFill>
                  <w14:solidFill>
                    <w14:schemeClr w14:val="tx1"/>
                  </w14:solidFill>
                </w14:textFill>
              </w:rPr>
              <w:t>4.</w:t>
            </w:r>
            <w:r>
              <w:rPr>
                <w:rFonts w:hint="eastAsia" w:ascii="宋体" w:hAnsi="宋体"/>
                <w:sz w:val="22"/>
                <w:lang w:eastAsia="zh-CN"/>
              </w:rPr>
              <w:t xml:space="preserve"> 温度控制：室温</w:t>
            </w:r>
            <w:r>
              <w:rPr>
                <w:rFonts w:ascii="宋体" w:hAnsi="宋体" w:cs="Calibri"/>
                <w:sz w:val="22"/>
                <w:lang w:eastAsia="zh-CN"/>
              </w:rPr>
              <w:t>+</w:t>
            </w:r>
            <w:r>
              <w:rPr>
                <w:rFonts w:hint="eastAsia" w:ascii="宋体" w:hAnsi="宋体"/>
                <w:sz w:val="22"/>
                <w:lang w:eastAsia="zh-CN"/>
              </w:rPr>
              <w:t>2℃-45.00 ℃，显示精度0.1℃，湿度:环境湿度-90%，显示精度1%；温度和湿度实时显示在屏幕上；压力控制：内部微正压，压力显示精度1Pa；</w:t>
            </w:r>
          </w:p>
          <w:p w14:paraId="4EFC6CFE">
            <w:pPr>
              <w:autoSpaceDE w:val="0"/>
              <w:autoSpaceDN w:val="0"/>
              <w:spacing w:line="520" w:lineRule="exact"/>
              <w:rPr>
                <w:rFonts w:hint="eastAsia" w:ascii="宋体" w:hAnsi="宋体"/>
                <w:sz w:val="22"/>
                <w:lang w:eastAsia="zh-CN"/>
              </w:rPr>
            </w:pPr>
            <w:r>
              <w:rPr>
                <w:rFonts w:hint="eastAsia" w:ascii="宋体" w:hAnsi="宋体"/>
                <w:sz w:val="22"/>
                <w:lang w:eastAsia="zh-CN"/>
              </w:rPr>
              <w:t>5. 带有数据记录：温度、湿度、氧气、二氧化碳、压力、校正参数、设定参数以及气源连接情况等2</w:t>
            </w:r>
            <w:r>
              <w:rPr>
                <w:rFonts w:ascii="宋体" w:hAnsi="宋体"/>
                <w:sz w:val="22"/>
                <w:lang w:eastAsia="zh-CN"/>
              </w:rPr>
              <w:t>0</w:t>
            </w:r>
            <w:r>
              <w:rPr>
                <w:rFonts w:hint="eastAsia" w:ascii="宋体" w:hAnsi="宋体"/>
                <w:sz w:val="22"/>
                <w:lang w:eastAsia="zh-CN"/>
              </w:rPr>
              <w:t>种以上的数据记录；数据既可以在屏幕上直接观看也可通过U</w:t>
            </w:r>
            <w:r>
              <w:rPr>
                <w:rFonts w:ascii="宋体" w:hAnsi="宋体"/>
                <w:sz w:val="22"/>
                <w:lang w:eastAsia="zh-CN"/>
              </w:rPr>
              <w:t>SB</w:t>
            </w:r>
            <w:r>
              <w:rPr>
                <w:rFonts w:hint="eastAsia" w:ascii="宋体" w:hAnsi="宋体"/>
                <w:sz w:val="22"/>
                <w:lang w:eastAsia="zh-CN"/>
              </w:rPr>
              <w:t>数据导出，数据记录存储时间超过36</w:t>
            </w:r>
            <w:r>
              <w:rPr>
                <w:rFonts w:ascii="宋体" w:hAnsi="宋体"/>
                <w:sz w:val="22"/>
                <w:lang w:eastAsia="zh-CN"/>
              </w:rPr>
              <w:t>0</w:t>
            </w:r>
            <w:r>
              <w:rPr>
                <w:rFonts w:hint="eastAsia" w:ascii="宋体" w:hAnsi="宋体"/>
                <w:sz w:val="22"/>
                <w:lang w:eastAsia="zh-CN"/>
              </w:rPr>
              <w:t>天；</w:t>
            </w:r>
          </w:p>
          <w:p w14:paraId="44EE261D">
            <w:pPr>
              <w:autoSpaceDE w:val="0"/>
              <w:autoSpaceDN w:val="0"/>
              <w:spacing w:line="520" w:lineRule="exact"/>
              <w:rPr>
                <w:rFonts w:hint="eastAsia" w:ascii="宋体" w:hAnsi="宋体"/>
                <w:sz w:val="22"/>
                <w:lang w:eastAsia="zh-CN"/>
              </w:rPr>
            </w:pPr>
            <w:r>
              <w:rPr>
                <w:rFonts w:hint="eastAsia" w:ascii="宋体" w:hAnsi="宋体"/>
                <w:sz w:val="22"/>
                <w:lang w:eastAsia="zh-CN"/>
              </w:rPr>
              <w:t>6. 双屏幕控制，两个≥8英寸彩色触屏操作，所有操作和设定均在触屏上完成，氧气浓度、二氧化碳浓度、温度、湿度、压力、进气状态、气瓶状态、数据、报警以及校正等都有显示；</w:t>
            </w:r>
          </w:p>
          <w:p w14:paraId="7F38F834">
            <w:pPr>
              <w:autoSpaceDE w:val="0"/>
              <w:autoSpaceDN w:val="0"/>
              <w:spacing w:line="520" w:lineRule="exact"/>
              <w:rPr>
                <w:rFonts w:hint="eastAsia" w:ascii="宋体" w:hAnsi="宋体"/>
                <w:sz w:val="22"/>
                <w:lang w:eastAsia="zh-CN"/>
              </w:rPr>
            </w:pPr>
            <w:r>
              <w:rPr>
                <w:rFonts w:hint="eastAsia" w:ascii="宋体" w:hAnsi="宋体"/>
                <w:sz w:val="22"/>
                <w:lang w:eastAsia="zh-CN"/>
              </w:rPr>
              <w:t>7. 厌氧环境时，钯催化剂的活性状态通过数字化实时显示，无需固定时间烘干活化；</w:t>
            </w:r>
          </w:p>
          <w:p w14:paraId="4796E2A5">
            <w:pPr>
              <w:autoSpaceDE w:val="0"/>
              <w:autoSpaceDN w:val="0"/>
              <w:spacing w:line="520" w:lineRule="exact"/>
              <w:rPr>
                <w:rFonts w:hint="eastAsia" w:ascii="宋体" w:hAnsi="宋体"/>
                <w:sz w:val="22"/>
                <w:lang w:eastAsia="zh-CN"/>
              </w:rPr>
            </w:pPr>
            <w:r>
              <w:rPr>
                <w:rFonts w:hint="eastAsia" w:ascii="宋体" w:hAnsi="宋体"/>
                <w:sz w:val="22"/>
                <w:lang w:eastAsia="zh-CN"/>
              </w:rPr>
              <w:t>8. 配置网络端口，一键连接总服务器，方便随时进行远程协助和系统升级；</w:t>
            </w:r>
          </w:p>
          <w:p w14:paraId="0281A23F">
            <w:pPr>
              <w:autoSpaceDE w:val="0"/>
              <w:autoSpaceDN w:val="0"/>
              <w:spacing w:line="520" w:lineRule="exact"/>
              <w:rPr>
                <w:rFonts w:hint="eastAsia" w:ascii="宋体" w:hAnsi="宋体"/>
                <w:sz w:val="22"/>
                <w:lang w:eastAsia="zh-CN"/>
              </w:rPr>
            </w:pPr>
            <w:r>
              <w:rPr>
                <w:rFonts w:hint="eastAsia" w:ascii="宋体" w:hAnsi="宋体"/>
                <w:sz w:val="22"/>
                <w:lang w:eastAsia="zh-CN"/>
              </w:rPr>
              <w:t>9. 前面板和侧面板均可拆卸，针对不同需要可打开其中一面或两面同时打开；</w:t>
            </w:r>
          </w:p>
          <w:p w14:paraId="4239F73F">
            <w:pPr>
              <w:autoSpaceDE w:val="0"/>
              <w:autoSpaceDN w:val="0"/>
              <w:spacing w:line="520" w:lineRule="exact"/>
              <w:rPr>
                <w:rFonts w:hint="eastAsia" w:cs="宋体" w:asciiTheme="minorEastAsia" w:hAnsiTheme="minorEastAsia"/>
                <w:color w:val="000000" w:themeColor="text1"/>
                <w:kern w:val="0"/>
                <w:szCs w:val="21"/>
                <w:lang w:eastAsia="zh-CN" w:bidi="zh-CN"/>
                <w14:textFill>
                  <w14:solidFill>
                    <w14:schemeClr w14:val="tx1"/>
                  </w14:solidFill>
                </w14:textFill>
              </w:rPr>
            </w:pPr>
            <w:r>
              <w:rPr>
                <w:rFonts w:hint="eastAsia" w:ascii="宋体" w:hAnsi="宋体"/>
                <w:sz w:val="22"/>
                <w:lang w:eastAsia="zh-CN"/>
              </w:rPr>
              <w:t>10. 智能气路：厌氧环境时仪器连接的两种气源，当其中任意一种断开时，仪器智能切换另外一种气源代替稳定厌氧环境，并且发出报警提示，智能气体功能的存在使厌氧环境下实现单气或双气任意条件均可以满足要求。</w:t>
            </w:r>
          </w:p>
        </w:tc>
      </w:tr>
      <w:tr w14:paraId="5AA01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1118" w:type="dxa"/>
            <w:vAlign w:val="center"/>
          </w:tcPr>
          <w:p w14:paraId="5269B848">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主要</w:t>
            </w:r>
          </w:p>
          <w:p w14:paraId="3CCF9074">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功能</w:t>
            </w:r>
          </w:p>
        </w:tc>
        <w:tc>
          <w:tcPr>
            <w:tcW w:w="8512" w:type="dxa"/>
            <w:gridSpan w:val="4"/>
            <w:tcBorders>
              <w:right w:val="single" w:color="000000" w:sz="6" w:space="0"/>
            </w:tcBorders>
            <w:vAlign w:val="center"/>
          </w:tcPr>
          <w:p w14:paraId="01E57402">
            <w:pPr>
              <w:autoSpaceDE w:val="0"/>
              <w:autoSpaceDN w:val="0"/>
              <w:spacing w:line="520" w:lineRule="exact"/>
              <w:rPr>
                <w:rFonts w:hint="eastAsia" w:cs="宋体" w:asciiTheme="minorEastAsia" w:hAnsiTheme="minorEastAsia"/>
                <w:color w:val="000000" w:themeColor="text1"/>
                <w:kern w:val="0"/>
                <w:sz w:val="22"/>
                <w:lang w:val="zh-CN" w:eastAsia="zh-CN" w:bidi="zh-CN"/>
                <w14:textFill>
                  <w14:solidFill>
                    <w14:schemeClr w14:val="tx1"/>
                  </w14:solidFill>
                </w14:textFill>
              </w:rPr>
            </w:pPr>
            <w:r>
              <w:rPr>
                <w:rFonts w:hint="eastAsia" w:cs="宋体" w:asciiTheme="minorEastAsia" w:hAnsiTheme="minorEastAsia"/>
                <w:color w:val="000000" w:themeColor="text1"/>
                <w:kern w:val="0"/>
                <w:sz w:val="22"/>
                <w:lang w:val="zh-CN" w:eastAsia="zh-CN" w:bidi="zh-CN"/>
                <w14:textFill>
                  <w14:solidFill>
                    <w14:schemeClr w14:val="tx1"/>
                  </w14:solidFill>
                </w14:textFill>
              </w:rPr>
              <w:t>自集合操作、培养以及观察一体，为细胞提供一个连续、稳定、精准的生物体内环境；同时可为厌氧微生物提供连续、稳定、极限的厌氧环境</w:t>
            </w:r>
          </w:p>
        </w:tc>
      </w:tr>
      <w:tr w14:paraId="4FE23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jc w:val="center"/>
        </w:trPr>
        <w:tc>
          <w:tcPr>
            <w:tcW w:w="1118" w:type="dxa"/>
            <w:vAlign w:val="center"/>
          </w:tcPr>
          <w:p w14:paraId="4AA866F0">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应用</w:t>
            </w:r>
          </w:p>
          <w:p w14:paraId="3981E59F">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范围</w:t>
            </w:r>
          </w:p>
        </w:tc>
        <w:tc>
          <w:tcPr>
            <w:tcW w:w="8512" w:type="dxa"/>
            <w:gridSpan w:val="4"/>
            <w:tcBorders>
              <w:right w:val="single" w:color="000000" w:sz="6" w:space="0"/>
            </w:tcBorders>
            <w:vAlign w:val="center"/>
          </w:tcPr>
          <w:p w14:paraId="4752D5D6">
            <w:pPr>
              <w:autoSpaceDE w:val="0"/>
              <w:autoSpaceDN w:val="0"/>
              <w:spacing w:line="520" w:lineRule="exact"/>
              <w:rPr>
                <w:rFonts w:hint="eastAsia" w:cs="宋体" w:asciiTheme="minorEastAsia" w:hAnsiTheme="minorEastAsia"/>
                <w:color w:val="000000" w:themeColor="text1"/>
                <w:kern w:val="0"/>
                <w:sz w:val="22"/>
                <w:lang w:val="zh-CN" w:eastAsia="zh-CN" w:bidi="zh-CN"/>
                <w14:textFill>
                  <w14:solidFill>
                    <w14:schemeClr w14:val="tx1"/>
                  </w14:solidFill>
                </w14:textFill>
              </w:rPr>
            </w:pPr>
            <w:r>
              <w:rPr>
                <w:rFonts w:hint="eastAsia" w:cs="宋体" w:asciiTheme="minorEastAsia" w:hAnsiTheme="minorEastAsia"/>
                <w:color w:val="000000" w:themeColor="text1"/>
                <w:kern w:val="0"/>
                <w:sz w:val="22"/>
                <w:lang w:val="zh-CN" w:eastAsia="zh-CN" w:bidi="zh-CN"/>
                <w14:textFill>
                  <w14:solidFill>
                    <w14:schemeClr w14:val="tx1"/>
                  </w14:solidFill>
                </w14:textFill>
              </w:rPr>
              <w:t>用于模拟生物体内生理缺氧厌氧环境，应用于肠道菌群、益生菌、各类厌围殴生物、心脑血管（脑卒中、心肌梗死）、肿瘤微环境、眼部疾病、呼吸暂停、高原缺氧、干细胞分化、损伤修复、细胞运动、抗肿瘤药效分析、药物长期效果分析、化合物的药</w:t>
            </w:r>
            <w:r>
              <w:rPr>
                <w:rFonts w:hint="eastAsia" w:cs="Noto Sans SC" w:asciiTheme="minorEastAsia" w:hAnsiTheme="minorEastAsia"/>
                <w:color w:val="000000" w:themeColor="text1"/>
                <w:kern w:val="0"/>
                <w:sz w:val="22"/>
                <w:lang w:val="zh-CN" w:eastAsia="zh-CN" w:bidi="zh-CN"/>
                <w14:textFill>
                  <w14:solidFill>
                    <w14:schemeClr w14:val="tx1"/>
                  </w14:solidFill>
                </w14:textFill>
              </w:rPr>
              <w:t>理</w:t>
            </w:r>
            <w:r>
              <w:rPr>
                <w:rFonts w:hint="eastAsia" w:cs="宋体" w:asciiTheme="minorEastAsia" w:hAnsiTheme="minorEastAsia"/>
                <w:color w:val="000000" w:themeColor="text1"/>
                <w:kern w:val="0"/>
                <w:sz w:val="22"/>
                <w:lang w:val="zh-CN" w:eastAsia="zh-CN" w:bidi="zh-CN"/>
                <w14:textFill>
                  <w14:solidFill>
                    <w14:schemeClr w14:val="tx1"/>
                  </w14:solidFill>
                </w14:textFill>
              </w:rPr>
              <w:t>毒性筛选、血管形成分析等研究</w:t>
            </w:r>
          </w:p>
        </w:tc>
      </w:tr>
      <w:tr w14:paraId="107C8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jc w:val="center"/>
        </w:trPr>
        <w:tc>
          <w:tcPr>
            <w:tcW w:w="1118" w:type="dxa"/>
            <w:vAlign w:val="center"/>
          </w:tcPr>
          <w:p w14:paraId="34F4A095">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共享</w:t>
            </w:r>
          </w:p>
          <w:p w14:paraId="27C13CE3">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kern w:val="0"/>
                <w:sz w:val="24"/>
                <w:szCs w:val="24"/>
                <w:lang w:val="zh-CN" w:eastAsia="en-US" w:bidi="zh-CN"/>
                <w14:textFill>
                  <w14:solidFill>
                    <w14:schemeClr w14:val="tx1"/>
                  </w14:solidFill>
                </w14:textFill>
              </w:rPr>
              <w:t>学科</w:t>
            </w:r>
          </w:p>
        </w:tc>
        <w:tc>
          <w:tcPr>
            <w:tcW w:w="8512" w:type="dxa"/>
            <w:gridSpan w:val="4"/>
            <w:tcBorders>
              <w:right w:val="single" w:color="000000" w:sz="6" w:space="0"/>
            </w:tcBorders>
            <w:vAlign w:val="center"/>
          </w:tcPr>
          <w:p w14:paraId="3B499241">
            <w:pPr>
              <w:autoSpaceDE w:val="0"/>
              <w:autoSpaceDN w:val="0"/>
              <w:spacing w:line="520" w:lineRule="exact"/>
              <w:rPr>
                <w:rFonts w:hint="eastAsia" w:cs="宋体" w:asciiTheme="minorEastAsia" w:hAnsiTheme="minorEastAsia"/>
                <w:color w:val="000000" w:themeColor="text1"/>
                <w:kern w:val="0"/>
                <w:sz w:val="22"/>
                <w:lang w:val="zh-CN" w:eastAsia="zh-CN" w:bidi="zh-CN"/>
                <w14:textFill>
                  <w14:solidFill>
                    <w14:schemeClr w14:val="tx1"/>
                  </w14:solidFill>
                </w14:textFill>
              </w:rPr>
            </w:pPr>
            <w:r>
              <w:rPr>
                <w:rFonts w:hint="eastAsia" w:cs="宋体" w:asciiTheme="minorEastAsia" w:hAnsiTheme="minorEastAsia"/>
                <w:color w:val="000000" w:themeColor="text1"/>
                <w:kern w:val="0"/>
                <w:sz w:val="22"/>
                <w:lang w:val="zh-CN" w:eastAsia="zh-CN" w:bidi="zh-CN"/>
                <w14:textFill>
                  <w14:solidFill>
                    <w14:schemeClr w14:val="tx1"/>
                  </w14:solidFill>
                </w14:textFill>
              </w:rPr>
              <w:t>动物科学、营养与食品工程、兽医科学、生物科学与工程、环境科学、海洋科学、医学等。</w:t>
            </w:r>
          </w:p>
        </w:tc>
      </w:tr>
      <w:tr w14:paraId="004B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jc w:val="center"/>
        </w:trPr>
        <w:tc>
          <w:tcPr>
            <w:tcW w:w="1118" w:type="dxa"/>
            <w:vAlign w:val="center"/>
          </w:tcPr>
          <w:p w14:paraId="154E1337">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spacing w:val="-1"/>
                <w:kern w:val="0"/>
                <w:sz w:val="24"/>
                <w:szCs w:val="24"/>
                <w:lang w:val="zh-CN" w:eastAsia="en-US" w:bidi="zh-CN"/>
                <w14:textFill>
                  <w14:solidFill>
                    <w14:schemeClr w14:val="tx1"/>
                  </w14:solidFill>
                </w14:textFill>
              </w:rPr>
              <w:t>申 购</w:t>
            </w:r>
          </w:p>
          <w:p w14:paraId="6F43EE08">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spacing w:val="-1"/>
                <w:kern w:val="0"/>
                <w:sz w:val="24"/>
                <w:szCs w:val="24"/>
                <w:lang w:val="zh-CN" w:eastAsia="en-US" w:bidi="zh-CN"/>
                <w14:textFill>
                  <w14:solidFill>
                    <w14:schemeClr w14:val="tx1"/>
                  </w14:solidFill>
                </w14:textFill>
              </w:rPr>
              <w:t>理 由</w:t>
            </w:r>
          </w:p>
          <w:p w14:paraId="1C0FACEF">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spacing w:val="-1"/>
                <w:kern w:val="0"/>
                <w:sz w:val="24"/>
                <w:szCs w:val="24"/>
                <w:lang w:val="zh-CN" w:eastAsia="en-US" w:bidi="zh-CN"/>
                <w14:textFill>
                  <w14:solidFill>
                    <w14:schemeClr w14:val="tx1"/>
                  </w14:solidFill>
                </w14:textFill>
              </w:rPr>
              <w:t>和 必</w:t>
            </w:r>
          </w:p>
          <w:p w14:paraId="206A0266">
            <w:pPr>
              <w:autoSpaceDE w:val="0"/>
              <w:autoSpaceDN w:val="0"/>
              <w:spacing w:line="520" w:lineRule="exact"/>
              <w:jc w:val="center"/>
              <w:rPr>
                <w:rFonts w:hint="eastAsia" w:cs="宋体" w:asciiTheme="minorEastAsia" w:hAnsiTheme="minorEastAsia"/>
                <w:b/>
                <w:color w:val="000000" w:themeColor="text1"/>
                <w:kern w:val="0"/>
                <w:sz w:val="24"/>
                <w:szCs w:val="24"/>
                <w:lang w:val="zh-CN" w:eastAsia="en-US" w:bidi="zh-CN"/>
                <w14:textFill>
                  <w14:solidFill>
                    <w14:schemeClr w14:val="tx1"/>
                  </w14:solidFill>
                </w14:textFill>
              </w:rPr>
            </w:pPr>
            <w:r>
              <w:rPr>
                <w:rFonts w:cs="宋体" w:asciiTheme="minorEastAsia" w:hAnsiTheme="minorEastAsia"/>
                <w:b/>
                <w:color w:val="000000" w:themeColor="text1"/>
                <w:spacing w:val="-1"/>
                <w:kern w:val="0"/>
                <w:sz w:val="24"/>
                <w:szCs w:val="24"/>
                <w:lang w:val="zh-CN" w:eastAsia="en-US" w:bidi="zh-CN"/>
                <w14:textFill>
                  <w14:solidFill>
                    <w14:schemeClr w14:val="tx1"/>
                  </w14:solidFill>
                </w14:textFill>
              </w:rPr>
              <w:t>要 性</w:t>
            </w:r>
          </w:p>
        </w:tc>
        <w:tc>
          <w:tcPr>
            <w:tcW w:w="8512" w:type="dxa"/>
            <w:gridSpan w:val="4"/>
            <w:tcBorders>
              <w:right w:val="single" w:color="000000" w:sz="6" w:space="0"/>
            </w:tcBorders>
            <w:vAlign w:val="center"/>
          </w:tcPr>
          <w:p w14:paraId="1DEAD807">
            <w:pPr>
              <w:autoSpaceDE w:val="0"/>
              <w:autoSpaceDN w:val="0"/>
              <w:spacing w:line="520" w:lineRule="exact"/>
              <w:rPr>
                <w:rFonts w:hint="eastAsia" w:cs="宋体" w:asciiTheme="minorEastAsia" w:hAnsiTheme="minorEastAsia"/>
                <w:color w:val="000000" w:themeColor="text1"/>
                <w:kern w:val="0"/>
                <w:sz w:val="22"/>
                <w:lang w:val="zh-CN" w:eastAsia="zh-CN" w:bidi="zh-CN"/>
                <w14:textFill>
                  <w14:solidFill>
                    <w14:schemeClr w14:val="tx1"/>
                  </w14:solidFill>
                </w14:textFill>
              </w:rPr>
            </w:pPr>
            <w:r>
              <w:rPr>
                <w:rFonts w:hint="eastAsia" w:cs="宋体" w:asciiTheme="minorEastAsia" w:hAnsiTheme="minorEastAsia"/>
                <w:color w:val="000000" w:themeColor="text1"/>
                <w:kern w:val="0"/>
                <w:sz w:val="22"/>
                <w:lang w:val="zh-CN" w:eastAsia="zh-CN" w:bidi="zh-CN"/>
                <w14:textFill>
                  <w14:solidFill>
                    <w14:schemeClr w14:val="tx1"/>
                  </w14:solidFill>
                </w14:textFill>
              </w:rPr>
              <w:t>组建低氧和厌氧精准实验室，完善学科建设和实验条件。</w:t>
            </w:r>
          </w:p>
          <w:p w14:paraId="556E3745">
            <w:pPr>
              <w:autoSpaceDE w:val="0"/>
              <w:autoSpaceDN w:val="0"/>
              <w:spacing w:line="520" w:lineRule="exact"/>
              <w:rPr>
                <w:rFonts w:hint="eastAsia" w:cs="宋体" w:asciiTheme="minorEastAsia" w:hAnsiTheme="minorEastAsia"/>
                <w:color w:val="000000" w:themeColor="text1"/>
                <w:kern w:val="0"/>
                <w:sz w:val="24"/>
                <w:szCs w:val="24"/>
                <w:lang w:val="zh-CN" w:eastAsia="zh-CN" w:bidi="zh-CN"/>
                <w14:textFill>
                  <w14:solidFill>
                    <w14:schemeClr w14:val="tx1"/>
                  </w14:solidFill>
                </w14:textFill>
              </w:rPr>
            </w:pPr>
            <w:r>
              <w:rPr>
                <w:rFonts w:hint="eastAsia" w:cs="宋体" w:asciiTheme="minorEastAsia" w:hAnsiTheme="minorEastAsia"/>
                <w:color w:val="000000" w:themeColor="text1"/>
                <w:kern w:val="0"/>
                <w:sz w:val="22"/>
                <w:lang w:val="zh-CN" w:eastAsia="zh-CN" w:bidi="zh-CN"/>
                <w14:textFill>
                  <w14:solidFill>
                    <w14:schemeClr w14:val="tx1"/>
                  </w14:solidFill>
                </w14:textFill>
              </w:rPr>
              <w:t>低厌氧工作站是针对细胞和微生物最基础和核心设备，为相关实验提供最重要的基本，集合操作培养和观察一体，使细胞和微生物实验在整个实验流程中保持稳定环境，避免每个独立流程环境波动带来实验干扰和无法重复实验等。</w:t>
            </w:r>
          </w:p>
        </w:tc>
      </w:tr>
      <w:bookmarkEnd w:id="0"/>
    </w:tbl>
    <w:p w14:paraId="24B7C54D">
      <w:pPr>
        <w:widowControl/>
        <w:spacing w:line="240" w:lineRule="auto"/>
        <w:rPr>
          <w:rFonts w:hint="eastAsia" w:asciiTheme="minorEastAsia" w:hAnsiTheme="minorEastAsia"/>
          <w:color w:val="000000" w:themeColor="text1"/>
          <w:sz w:val="24"/>
          <w:szCs w:val="24"/>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Noto Sans SC">
    <w:panose1 w:val="020B0500000000000000"/>
    <w:charset w:val="86"/>
    <w:family w:val="swiss"/>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3FD4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3AE0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F3AE00">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GEwMDJiZTk0YmQ5MWFiMmViMzRkZWYxNGYyYWQifQ=="/>
  </w:docVars>
  <w:rsids>
    <w:rsidRoot w:val="00E26EEF"/>
    <w:rsid w:val="000061C2"/>
    <w:rsid w:val="0001197C"/>
    <w:rsid w:val="00016D51"/>
    <w:rsid w:val="00021639"/>
    <w:rsid w:val="00021AFF"/>
    <w:rsid w:val="000261FC"/>
    <w:rsid w:val="00035A5B"/>
    <w:rsid w:val="000404C5"/>
    <w:rsid w:val="00046598"/>
    <w:rsid w:val="00070F16"/>
    <w:rsid w:val="0007300E"/>
    <w:rsid w:val="00073D4A"/>
    <w:rsid w:val="00075445"/>
    <w:rsid w:val="00077241"/>
    <w:rsid w:val="00085252"/>
    <w:rsid w:val="000A0ED6"/>
    <w:rsid w:val="000B0A66"/>
    <w:rsid w:val="000C43EB"/>
    <w:rsid w:val="000D0BAB"/>
    <w:rsid w:val="000E5F22"/>
    <w:rsid w:val="000F0D45"/>
    <w:rsid w:val="000F3EB3"/>
    <w:rsid w:val="000F54E5"/>
    <w:rsid w:val="00111248"/>
    <w:rsid w:val="00127EA5"/>
    <w:rsid w:val="00133C25"/>
    <w:rsid w:val="0013449F"/>
    <w:rsid w:val="00161717"/>
    <w:rsid w:val="00184DBE"/>
    <w:rsid w:val="00191D65"/>
    <w:rsid w:val="001964B5"/>
    <w:rsid w:val="001A3615"/>
    <w:rsid w:val="001A37C1"/>
    <w:rsid w:val="001B0335"/>
    <w:rsid w:val="001B30DE"/>
    <w:rsid w:val="001B4472"/>
    <w:rsid w:val="001B4607"/>
    <w:rsid w:val="001B6D60"/>
    <w:rsid w:val="001E1BEA"/>
    <w:rsid w:val="001E3754"/>
    <w:rsid w:val="00200327"/>
    <w:rsid w:val="00231E5A"/>
    <w:rsid w:val="002576CE"/>
    <w:rsid w:val="00257A5B"/>
    <w:rsid w:val="00263913"/>
    <w:rsid w:val="00264CCE"/>
    <w:rsid w:val="00273736"/>
    <w:rsid w:val="00280449"/>
    <w:rsid w:val="0029545C"/>
    <w:rsid w:val="002B08A0"/>
    <w:rsid w:val="002B256D"/>
    <w:rsid w:val="002B3673"/>
    <w:rsid w:val="002E51A4"/>
    <w:rsid w:val="002F27D9"/>
    <w:rsid w:val="002F27DE"/>
    <w:rsid w:val="002F2B16"/>
    <w:rsid w:val="002F34DE"/>
    <w:rsid w:val="00302633"/>
    <w:rsid w:val="003027E1"/>
    <w:rsid w:val="00303D63"/>
    <w:rsid w:val="003214F7"/>
    <w:rsid w:val="00324825"/>
    <w:rsid w:val="00331C34"/>
    <w:rsid w:val="003329F5"/>
    <w:rsid w:val="0034303C"/>
    <w:rsid w:val="00355FB3"/>
    <w:rsid w:val="003569E2"/>
    <w:rsid w:val="003577B2"/>
    <w:rsid w:val="003B42DF"/>
    <w:rsid w:val="003B783D"/>
    <w:rsid w:val="003C4D99"/>
    <w:rsid w:val="003C59DF"/>
    <w:rsid w:val="003C73E5"/>
    <w:rsid w:val="003D1653"/>
    <w:rsid w:val="003E5FC2"/>
    <w:rsid w:val="003F175F"/>
    <w:rsid w:val="00410DBA"/>
    <w:rsid w:val="00421B62"/>
    <w:rsid w:val="004518B9"/>
    <w:rsid w:val="0046185D"/>
    <w:rsid w:val="004637E6"/>
    <w:rsid w:val="00466EDF"/>
    <w:rsid w:val="00467278"/>
    <w:rsid w:val="00482C04"/>
    <w:rsid w:val="0048373D"/>
    <w:rsid w:val="004864A7"/>
    <w:rsid w:val="004A79A4"/>
    <w:rsid w:val="004B278F"/>
    <w:rsid w:val="004C3144"/>
    <w:rsid w:val="004C7098"/>
    <w:rsid w:val="004D1D3B"/>
    <w:rsid w:val="004E4754"/>
    <w:rsid w:val="004F3CF9"/>
    <w:rsid w:val="005005C0"/>
    <w:rsid w:val="00521E0F"/>
    <w:rsid w:val="005223AC"/>
    <w:rsid w:val="005455F7"/>
    <w:rsid w:val="00565BE3"/>
    <w:rsid w:val="00585417"/>
    <w:rsid w:val="005918D1"/>
    <w:rsid w:val="00593333"/>
    <w:rsid w:val="00596C6F"/>
    <w:rsid w:val="005A360F"/>
    <w:rsid w:val="005A54A9"/>
    <w:rsid w:val="005A7EE8"/>
    <w:rsid w:val="005B5AE1"/>
    <w:rsid w:val="005C3650"/>
    <w:rsid w:val="005D2DF5"/>
    <w:rsid w:val="005F1037"/>
    <w:rsid w:val="005F1735"/>
    <w:rsid w:val="00621017"/>
    <w:rsid w:val="0063615B"/>
    <w:rsid w:val="00636207"/>
    <w:rsid w:val="00671AEB"/>
    <w:rsid w:val="00676044"/>
    <w:rsid w:val="006A7CBF"/>
    <w:rsid w:val="006B1E86"/>
    <w:rsid w:val="006D492A"/>
    <w:rsid w:val="006E1574"/>
    <w:rsid w:val="006E267A"/>
    <w:rsid w:val="006E3111"/>
    <w:rsid w:val="006E554A"/>
    <w:rsid w:val="00715619"/>
    <w:rsid w:val="00715FAB"/>
    <w:rsid w:val="0074252F"/>
    <w:rsid w:val="0077790C"/>
    <w:rsid w:val="0078516A"/>
    <w:rsid w:val="00786644"/>
    <w:rsid w:val="007A5430"/>
    <w:rsid w:val="007A5E7A"/>
    <w:rsid w:val="007B0C7A"/>
    <w:rsid w:val="007B0F53"/>
    <w:rsid w:val="007C3955"/>
    <w:rsid w:val="007C3E58"/>
    <w:rsid w:val="007C7ECC"/>
    <w:rsid w:val="007D55DC"/>
    <w:rsid w:val="007E17FD"/>
    <w:rsid w:val="007E5E44"/>
    <w:rsid w:val="007F0427"/>
    <w:rsid w:val="008007D0"/>
    <w:rsid w:val="00800839"/>
    <w:rsid w:val="00801B5D"/>
    <w:rsid w:val="00804430"/>
    <w:rsid w:val="00811072"/>
    <w:rsid w:val="008149CF"/>
    <w:rsid w:val="00814EE1"/>
    <w:rsid w:val="00816481"/>
    <w:rsid w:val="008252FF"/>
    <w:rsid w:val="00832129"/>
    <w:rsid w:val="00835F62"/>
    <w:rsid w:val="00854AB1"/>
    <w:rsid w:val="0086235D"/>
    <w:rsid w:val="00864CFD"/>
    <w:rsid w:val="008660D6"/>
    <w:rsid w:val="00867B14"/>
    <w:rsid w:val="008737D8"/>
    <w:rsid w:val="00880BBF"/>
    <w:rsid w:val="00882873"/>
    <w:rsid w:val="00892AD8"/>
    <w:rsid w:val="008975F8"/>
    <w:rsid w:val="00897F60"/>
    <w:rsid w:val="008A2BF6"/>
    <w:rsid w:val="008A6AA0"/>
    <w:rsid w:val="008C45F9"/>
    <w:rsid w:val="008D0E65"/>
    <w:rsid w:val="008D2676"/>
    <w:rsid w:val="008E0200"/>
    <w:rsid w:val="008E1123"/>
    <w:rsid w:val="008E135D"/>
    <w:rsid w:val="009177AD"/>
    <w:rsid w:val="0093651D"/>
    <w:rsid w:val="00936602"/>
    <w:rsid w:val="009447CB"/>
    <w:rsid w:val="0096120B"/>
    <w:rsid w:val="00985130"/>
    <w:rsid w:val="009A61EF"/>
    <w:rsid w:val="009E75E6"/>
    <w:rsid w:val="009F3143"/>
    <w:rsid w:val="00A14E00"/>
    <w:rsid w:val="00A248A1"/>
    <w:rsid w:val="00A447CF"/>
    <w:rsid w:val="00A57A9A"/>
    <w:rsid w:val="00A646F1"/>
    <w:rsid w:val="00A64C23"/>
    <w:rsid w:val="00A709BF"/>
    <w:rsid w:val="00A70E20"/>
    <w:rsid w:val="00A80992"/>
    <w:rsid w:val="00A91786"/>
    <w:rsid w:val="00A928DE"/>
    <w:rsid w:val="00AA0B21"/>
    <w:rsid w:val="00AA2C47"/>
    <w:rsid w:val="00AC10EE"/>
    <w:rsid w:val="00AC7F0F"/>
    <w:rsid w:val="00AD0D96"/>
    <w:rsid w:val="00AD436F"/>
    <w:rsid w:val="00AE350A"/>
    <w:rsid w:val="00AE73A7"/>
    <w:rsid w:val="00B014BC"/>
    <w:rsid w:val="00B15418"/>
    <w:rsid w:val="00B208CC"/>
    <w:rsid w:val="00B42359"/>
    <w:rsid w:val="00B459D5"/>
    <w:rsid w:val="00B46738"/>
    <w:rsid w:val="00B53757"/>
    <w:rsid w:val="00B75634"/>
    <w:rsid w:val="00B760A7"/>
    <w:rsid w:val="00B800FC"/>
    <w:rsid w:val="00B91184"/>
    <w:rsid w:val="00B94A57"/>
    <w:rsid w:val="00BA5563"/>
    <w:rsid w:val="00BA7998"/>
    <w:rsid w:val="00BB25A2"/>
    <w:rsid w:val="00BB35D6"/>
    <w:rsid w:val="00BD5CBA"/>
    <w:rsid w:val="00C00C16"/>
    <w:rsid w:val="00C407ED"/>
    <w:rsid w:val="00C43A8B"/>
    <w:rsid w:val="00C55543"/>
    <w:rsid w:val="00C6734E"/>
    <w:rsid w:val="00C71C04"/>
    <w:rsid w:val="00C7653C"/>
    <w:rsid w:val="00C866AC"/>
    <w:rsid w:val="00C95447"/>
    <w:rsid w:val="00CB139B"/>
    <w:rsid w:val="00CB44F9"/>
    <w:rsid w:val="00CD7415"/>
    <w:rsid w:val="00CE2B1B"/>
    <w:rsid w:val="00CE4BD0"/>
    <w:rsid w:val="00CF0914"/>
    <w:rsid w:val="00CF22AF"/>
    <w:rsid w:val="00CF71B2"/>
    <w:rsid w:val="00D01C7C"/>
    <w:rsid w:val="00D15424"/>
    <w:rsid w:val="00D324D1"/>
    <w:rsid w:val="00D352EA"/>
    <w:rsid w:val="00D57A7D"/>
    <w:rsid w:val="00D60843"/>
    <w:rsid w:val="00D87C45"/>
    <w:rsid w:val="00DA0924"/>
    <w:rsid w:val="00DA1DD0"/>
    <w:rsid w:val="00DC25E4"/>
    <w:rsid w:val="00DC4533"/>
    <w:rsid w:val="00DC50E5"/>
    <w:rsid w:val="00DD55F8"/>
    <w:rsid w:val="00DE6D3D"/>
    <w:rsid w:val="00E014B0"/>
    <w:rsid w:val="00E26EEF"/>
    <w:rsid w:val="00E377EE"/>
    <w:rsid w:val="00E41037"/>
    <w:rsid w:val="00E4263A"/>
    <w:rsid w:val="00E42722"/>
    <w:rsid w:val="00E43260"/>
    <w:rsid w:val="00E646AA"/>
    <w:rsid w:val="00E82138"/>
    <w:rsid w:val="00E825F3"/>
    <w:rsid w:val="00E84713"/>
    <w:rsid w:val="00E85A32"/>
    <w:rsid w:val="00EB54A7"/>
    <w:rsid w:val="00EC0B32"/>
    <w:rsid w:val="00ED02B1"/>
    <w:rsid w:val="00EF5149"/>
    <w:rsid w:val="00F04AF4"/>
    <w:rsid w:val="00F43232"/>
    <w:rsid w:val="00F63FC2"/>
    <w:rsid w:val="00F664FB"/>
    <w:rsid w:val="00F670BC"/>
    <w:rsid w:val="00F67924"/>
    <w:rsid w:val="00F7087C"/>
    <w:rsid w:val="00F85653"/>
    <w:rsid w:val="00F95715"/>
    <w:rsid w:val="00F972FB"/>
    <w:rsid w:val="00F9778D"/>
    <w:rsid w:val="00FB2327"/>
    <w:rsid w:val="00FC53A3"/>
    <w:rsid w:val="00FC5E6D"/>
    <w:rsid w:val="00FD73A0"/>
    <w:rsid w:val="00FE3592"/>
    <w:rsid w:val="00FF4893"/>
    <w:rsid w:val="00FF55A9"/>
    <w:rsid w:val="03AA6FCE"/>
    <w:rsid w:val="185037B8"/>
    <w:rsid w:val="1BB31B29"/>
    <w:rsid w:val="21CB5384"/>
    <w:rsid w:val="2F4B107D"/>
    <w:rsid w:val="32905BA8"/>
    <w:rsid w:val="366110AB"/>
    <w:rsid w:val="46737CA9"/>
    <w:rsid w:val="538D6447"/>
    <w:rsid w:val="54D97359"/>
    <w:rsid w:val="5E70660C"/>
    <w:rsid w:val="601E4766"/>
    <w:rsid w:val="760A6A78"/>
    <w:rsid w:val="76841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240" w:after="24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140" w:after="14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140" w:after="140" w:line="416" w:lineRule="auto"/>
      <w:outlineLvl w:val="2"/>
    </w:pPr>
    <w:rPr>
      <w:b/>
      <w:bCs/>
      <w:sz w:val="32"/>
      <w:szCs w:val="32"/>
    </w:rPr>
  </w:style>
  <w:style w:type="paragraph" w:styleId="5">
    <w:name w:val="heading 4"/>
    <w:basedOn w:val="1"/>
    <w:next w:val="1"/>
    <w:link w:val="17"/>
    <w:qFormat/>
    <w:uiPriority w:val="0"/>
    <w:pPr>
      <w:keepNext/>
      <w:keepLines/>
      <w:spacing w:line="360" w:lineRule="auto"/>
      <w:jc w:val="center"/>
      <w:outlineLvl w:val="3"/>
    </w:pPr>
    <w:rPr>
      <w:rFonts w:hAnsi="Arial" w:cs="Times New Roman" w:asciiTheme="majorEastAsia" w:eastAsiaTheme="majorEastAsia"/>
      <w:b/>
      <w:bCs/>
      <w:sz w:val="24"/>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6"/>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15"/>
    <w:qFormat/>
    <w:uiPriority w:val="0"/>
    <w:pPr>
      <w:jc w:val="center"/>
    </w:pPr>
    <w:rPr>
      <w:sz w:val="30"/>
      <w:szCs w:val="24"/>
    </w:rPr>
  </w:style>
  <w:style w:type="character" w:customStyle="1" w:styleId="12">
    <w:name w:val="标题 1 字符"/>
    <w:basedOn w:val="11"/>
    <w:link w:val="2"/>
    <w:qFormat/>
    <w:uiPriority w:val="9"/>
    <w:rPr>
      <w:b/>
      <w:bCs/>
      <w:kern w:val="44"/>
      <w:sz w:val="44"/>
      <w:szCs w:val="44"/>
    </w:rPr>
  </w:style>
  <w:style w:type="character" w:customStyle="1" w:styleId="13">
    <w:name w:val="标题 2 字符"/>
    <w:basedOn w:val="11"/>
    <w:link w:val="3"/>
    <w:qFormat/>
    <w:uiPriority w:val="9"/>
    <w:rPr>
      <w:rFonts w:asciiTheme="majorHAnsi" w:hAnsiTheme="majorHAnsi" w:eastAsiaTheme="majorEastAsia" w:cstheme="majorBidi"/>
      <w:b/>
      <w:bCs/>
      <w:sz w:val="32"/>
      <w:szCs w:val="32"/>
    </w:rPr>
  </w:style>
  <w:style w:type="character" w:customStyle="1" w:styleId="14">
    <w:name w:val="标题 3 字符"/>
    <w:basedOn w:val="11"/>
    <w:link w:val="4"/>
    <w:qFormat/>
    <w:uiPriority w:val="9"/>
    <w:rPr>
      <w:b/>
      <w:bCs/>
      <w:sz w:val="32"/>
      <w:szCs w:val="32"/>
    </w:rPr>
  </w:style>
  <w:style w:type="character" w:customStyle="1" w:styleId="15">
    <w:name w:val="标题 字符"/>
    <w:link w:val="9"/>
    <w:qFormat/>
    <w:uiPriority w:val="0"/>
    <w:rPr>
      <w:sz w:val="30"/>
      <w:szCs w:val="24"/>
    </w:rPr>
  </w:style>
  <w:style w:type="paragraph" w:customStyle="1" w:styleId="16">
    <w:name w:val="宋四一级"/>
    <w:qFormat/>
    <w:uiPriority w:val="0"/>
    <w:pPr>
      <w:spacing w:line="360" w:lineRule="auto"/>
      <w:outlineLvl w:val="0"/>
    </w:pPr>
    <w:rPr>
      <w:rFonts w:ascii="Calibri" w:hAnsi="Calibri" w:eastAsia="宋体" w:cs="Times New Roman"/>
      <w:kern w:val="2"/>
      <w:sz w:val="28"/>
      <w:szCs w:val="22"/>
      <w:lang w:val="en-US" w:eastAsia="zh-CN" w:bidi="ar-SA"/>
    </w:rPr>
  </w:style>
  <w:style w:type="character" w:customStyle="1" w:styleId="17">
    <w:name w:val="标题 4 字符"/>
    <w:basedOn w:val="11"/>
    <w:link w:val="5"/>
    <w:qFormat/>
    <w:uiPriority w:val="0"/>
    <w:rPr>
      <w:rFonts w:hAnsi="Arial" w:cs="Times New Roman" w:asciiTheme="majorEastAsia" w:eastAsiaTheme="majorEastAsia"/>
      <w:b/>
      <w:bCs/>
      <w:sz w:val="24"/>
      <w:szCs w:val="28"/>
    </w:rPr>
  </w:style>
  <w:style w:type="character" w:customStyle="1" w:styleId="18">
    <w:name w:val="页眉 字符"/>
    <w:basedOn w:val="11"/>
    <w:link w:val="8"/>
    <w:qFormat/>
    <w:uiPriority w:val="99"/>
    <w:rPr>
      <w:sz w:val="18"/>
      <w:szCs w:val="18"/>
    </w:rPr>
  </w:style>
  <w:style w:type="character" w:customStyle="1" w:styleId="19">
    <w:name w:val="页脚 字符"/>
    <w:basedOn w:val="11"/>
    <w:link w:val="7"/>
    <w:qFormat/>
    <w:uiPriority w:val="99"/>
    <w:rPr>
      <w:sz w:val="18"/>
      <w:szCs w:val="18"/>
    </w:rPr>
  </w:style>
  <w:style w:type="table" w:customStyle="1" w:styleId="20">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1">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22">
    <w:name w:val="Table Paragraph"/>
    <w:basedOn w:val="1"/>
    <w:qFormat/>
    <w:uiPriority w:val="1"/>
    <w:pPr>
      <w:autoSpaceDE w:val="0"/>
      <w:autoSpaceDN w:val="0"/>
    </w:pPr>
    <w:rPr>
      <w:rFonts w:ascii="宋体" w:hAnsi="宋体" w:eastAsia="宋体" w:cs="宋体"/>
      <w:kern w:val="0"/>
      <w:sz w:val="22"/>
      <w:lang w:val="zh-CN" w:bidi="zh-CN"/>
    </w:rPr>
  </w:style>
  <w:style w:type="table" w:customStyle="1" w:styleId="23">
    <w:name w:val="Table Normal2"/>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table" w:customStyle="1" w:styleId="24">
    <w:name w:val="Table Normal3"/>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styleId="25">
    <w:name w:val="List Paragraph"/>
    <w:basedOn w:val="1"/>
    <w:qFormat/>
    <w:uiPriority w:val="34"/>
    <w:pPr>
      <w:ind w:firstLine="420" w:firstLineChars="200"/>
    </w:pPr>
  </w:style>
  <w:style w:type="character" w:customStyle="1" w:styleId="26">
    <w:name w:val="批注框文本 字符"/>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1879</Words>
  <Characters>2052</Characters>
  <Lines>42</Lines>
  <Paragraphs>11</Paragraphs>
  <TotalTime>3</TotalTime>
  <ScaleCrop>false</ScaleCrop>
  <LinksUpToDate>false</LinksUpToDate>
  <CharactersWithSpaces>2242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2021-03-11T02:22:00Z</dcterms:created>
  <dc:creator>Tristan</dc:creator>
  <cp:lastModifiedBy>梁生</cp:lastModifiedBy>
  <cp:lastPrinted>2021-03-05T04:20:00Z</cp:lastPrinted>
  <dcterms:modified xsi:type="dcterms:W3CDTF">2025-10-13T08:33:34Z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90642A60AB714C348E003BB8E2C0A197_13</vt:lpwstr>
  </property>
  <property fmtid="{D5CDD505-2E9C-101B-9397-08002B2CF9AE}" pid="4" name="KSOTemplateDocerSaveRecord">
    <vt:lpwstr>eyJoZGlkIjoiZjYwMGEwMDJiZTk0YmQ5MWFiMmViMzRkZWYxNGYyYWQiLCJ1c2VySWQiOiIxNjk2OTk1MzY0In0=</vt:lpwstr>
  </property>
</Properties>
</file>