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AE8AD">
      <w:pPr>
        <w:widowControl/>
        <w:spacing w:line="520" w:lineRule="exact"/>
        <w:rPr>
          <w:rFonts w:hint="default" w:asciiTheme="minorEastAsia" w:hAnsiTheme="minorEastAsia" w:eastAsiaTheme="minorEastAsia"/>
          <w:color w:val="000000" w:themeColor="text1"/>
          <w:sz w:val="30"/>
          <w:szCs w:val="30"/>
          <w:lang w:val="en-US" w:eastAsia="zh-CN"/>
          <w14:textFill>
            <w14:solidFill>
              <w14:schemeClr w14:val="tx1"/>
            </w14:solidFill>
          </w14:textFill>
        </w:rPr>
      </w:pPr>
      <w:r>
        <w:rPr>
          <w:rFonts w:hint="eastAsia" w:asciiTheme="minorEastAsia" w:hAnsiTheme="minorEastAsia"/>
          <w:color w:val="000000" w:themeColor="text1"/>
          <w:sz w:val="30"/>
          <w:szCs w:val="30"/>
          <w:lang w:val="en-US" w:eastAsia="zh-CN"/>
          <w14:textFill>
            <w14:solidFill>
              <w14:schemeClr w14:val="tx1"/>
            </w14:solidFill>
          </w14:textFill>
        </w:rPr>
        <w:t>附件;</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气相色谱仪</w:t>
      </w:r>
    </w:p>
    <w:p w14:paraId="397D13B5">
      <w:pPr>
        <w:widowControl/>
        <w:spacing w:line="520" w:lineRule="exact"/>
        <w:rPr>
          <w:rFonts w:hint="eastAsia" w:asciiTheme="minorEastAsia" w:hAnsiTheme="minorEastAsia"/>
          <w:color w:val="000000" w:themeColor="text1"/>
          <w:sz w:val="30"/>
          <w:szCs w:val="30"/>
          <w14:textFill>
            <w14:solidFill>
              <w14:schemeClr w14:val="tx1"/>
            </w14:solidFill>
          </w14:textFill>
        </w:rPr>
      </w:pPr>
    </w:p>
    <w:tbl>
      <w:tblPr>
        <w:tblStyle w:val="21"/>
        <w:tblW w:w="96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11"/>
        <w:gridCol w:w="7401"/>
      </w:tblGrid>
      <w:tr w14:paraId="6620E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229" w:type="dxa"/>
            <w:gridSpan w:val="2"/>
            <w:vAlign w:val="center"/>
          </w:tcPr>
          <w:p w14:paraId="6D635B3F">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仪器设备中文名称</w:t>
            </w:r>
          </w:p>
        </w:tc>
        <w:tc>
          <w:tcPr>
            <w:tcW w:w="7401" w:type="dxa"/>
            <w:tcBorders>
              <w:right w:val="single" w:color="000000" w:sz="6" w:space="0"/>
            </w:tcBorders>
            <w:vAlign w:val="center"/>
          </w:tcPr>
          <w:p w14:paraId="17B06BB6">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气相色谱仪</w:t>
            </w:r>
          </w:p>
        </w:tc>
      </w:tr>
      <w:tr w14:paraId="29BD9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1755778C">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仪器设备外文名称</w:t>
            </w:r>
          </w:p>
        </w:tc>
        <w:tc>
          <w:tcPr>
            <w:tcW w:w="7401" w:type="dxa"/>
            <w:tcBorders>
              <w:right w:val="single" w:color="000000" w:sz="6" w:space="0"/>
            </w:tcBorders>
            <w:vAlign w:val="center"/>
          </w:tcPr>
          <w:p w14:paraId="44D7E6CA">
            <w:pPr>
              <w:autoSpaceDE w:val="0"/>
              <w:autoSpaceDN w:val="0"/>
              <w:spacing w:line="520" w:lineRule="exact"/>
              <w:jc w:val="center"/>
              <w:rPr>
                <w:rFonts w:hint="eastAsia" w:cs="宋体" w:asciiTheme="minorEastAsia" w:hAnsiTheme="minorEastAsia"/>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color w:val="000000" w:themeColor="text1"/>
                <w:kern w:val="0"/>
                <w:sz w:val="24"/>
                <w:szCs w:val="24"/>
                <w:lang w:eastAsia="en-US" w:bidi="zh-CN"/>
                <w14:textFill>
                  <w14:solidFill>
                    <w14:schemeClr w14:val="tx1"/>
                  </w14:solidFill>
                </w14:textFill>
              </w:rPr>
              <w:t>G</w:t>
            </w:r>
            <w:r>
              <w:rPr>
                <w:rFonts w:hint="eastAsia" w:cs="宋体" w:asciiTheme="minorEastAsia" w:hAnsiTheme="minorEastAsia"/>
                <w:color w:val="000000" w:themeColor="text1"/>
                <w:kern w:val="0"/>
                <w:sz w:val="24"/>
                <w:szCs w:val="24"/>
                <w:lang w:val="zh-CN" w:eastAsia="en-US" w:bidi="zh-CN"/>
                <w14:textFill>
                  <w14:solidFill>
                    <w14:schemeClr w14:val="tx1"/>
                  </w14:solidFill>
                </w14:textFill>
              </w:rPr>
              <w:t xml:space="preserve">as </w:t>
            </w:r>
            <w:r>
              <w:rPr>
                <w:rFonts w:hint="eastAsia" w:cs="宋体" w:asciiTheme="minorEastAsia" w:hAnsiTheme="minorEastAsia"/>
                <w:color w:val="000000" w:themeColor="text1"/>
                <w:kern w:val="0"/>
                <w:sz w:val="24"/>
                <w:szCs w:val="24"/>
                <w:lang w:eastAsia="en-US" w:bidi="zh-CN"/>
                <w14:textFill>
                  <w14:solidFill>
                    <w14:schemeClr w14:val="tx1"/>
                  </w14:solidFill>
                </w14:textFill>
              </w:rPr>
              <w:t>C</w:t>
            </w:r>
            <w:r>
              <w:rPr>
                <w:rFonts w:hint="eastAsia" w:cs="宋体" w:asciiTheme="minorEastAsia" w:hAnsiTheme="minorEastAsia"/>
                <w:color w:val="000000" w:themeColor="text1"/>
                <w:kern w:val="0"/>
                <w:sz w:val="24"/>
                <w:szCs w:val="24"/>
                <w:lang w:val="zh-CN" w:eastAsia="en-US" w:bidi="zh-CN"/>
                <w14:textFill>
                  <w14:solidFill>
                    <w14:schemeClr w14:val="tx1"/>
                  </w14:solidFill>
                </w14:textFill>
              </w:rPr>
              <w:t>hromatograph</w:t>
            </w:r>
          </w:p>
        </w:tc>
      </w:tr>
      <w:tr w14:paraId="4E455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4E7EDF19">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设备价格人民币</w:t>
            </w:r>
          </w:p>
        </w:tc>
        <w:tc>
          <w:tcPr>
            <w:tcW w:w="7401" w:type="dxa"/>
            <w:tcBorders>
              <w:right w:val="single" w:color="000000" w:sz="6" w:space="0"/>
            </w:tcBorders>
            <w:vAlign w:val="center"/>
          </w:tcPr>
          <w:p w14:paraId="118DC33E">
            <w:pPr>
              <w:autoSpaceDE w:val="0"/>
              <w:autoSpaceDN w:val="0"/>
              <w:spacing w:line="520" w:lineRule="exact"/>
              <w:jc w:val="center"/>
              <w:rPr>
                <w:rFonts w:hint="default" w:cs="宋体" w:asciiTheme="minorEastAsia" w:hAnsiTheme="minorEastAsia"/>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color w:val="000000" w:themeColor="text1"/>
                <w:kern w:val="0"/>
                <w:sz w:val="24"/>
                <w:szCs w:val="24"/>
                <w:lang w:val="en-US" w:eastAsia="en-US" w:bidi="zh-CN"/>
                <w14:textFill>
                  <w14:solidFill>
                    <w14:schemeClr w14:val="tx1"/>
                  </w14:solidFill>
                </w14:textFill>
              </w:rPr>
              <w:t>35万元/台</w:t>
            </w:r>
          </w:p>
        </w:tc>
      </w:tr>
      <w:tr w14:paraId="7C555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09814628">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申购学院</w:t>
            </w:r>
          </w:p>
        </w:tc>
        <w:tc>
          <w:tcPr>
            <w:tcW w:w="7401" w:type="dxa"/>
            <w:tcBorders>
              <w:right w:val="single" w:color="000000" w:sz="6" w:space="0"/>
            </w:tcBorders>
            <w:vAlign w:val="center"/>
          </w:tcPr>
          <w:p w14:paraId="68CB7263">
            <w:pPr>
              <w:autoSpaceDE w:val="0"/>
              <w:autoSpaceDN w:val="0"/>
              <w:spacing w:line="520" w:lineRule="exact"/>
              <w:jc w:val="center"/>
              <w:rPr>
                <w:rFonts w:hint="default" w:cs="宋体" w:asciiTheme="minorEastAsia" w:hAnsiTheme="minorEastAsia"/>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color w:val="000000" w:themeColor="text1"/>
                <w:kern w:val="0"/>
                <w:sz w:val="24"/>
                <w:szCs w:val="24"/>
                <w:lang w:val="en-US" w:eastAsia="en-US" w:bidi="zh-CN"/>
                <w14:textFill>
                  <w14:solidFill>
                    <w14:schemeClr w14:val="tx1"/>
                  </w14:solidFill>
                </w14:textFill>
              </w:rPr>
              <w:t>资源环境学院</w:t>
            </w:r>
          </w:p>
        </w:tc>
      </w:tr>
      <w:tr w14:paraId="6E9E3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7E108466">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申购结果</w:t>
            </w:r>
          </w:p>
        </w:tc>
        <w:tc>
          <w:tcPr>
            <w:tcW w:w="7401" w:type="dxa"/>
            <w:tcBorders>
              <w:right w:val="single" w:color="000000" w:sz="6" w:space="0"/>
            </w:tcBorders>
            <w:vAlign w:val="center"/>
          </w:tcPr>
          <w:p w14:paraId="780B4D5E">
            <w:pPr>
              <w:autoSpaceDE w:val="0"/>
              <w:autoSpaceDN w:val="0"/>
              <w:spacing w:line="520" w:lineRule="exact"/>
              <w:jc w:val="center"/>
              <w:rPr>
                <w:rFonts w:hint="default" w:cs="宋体" w:asciiTheme="minorEastAsia" w:hAnsiTheme="minorEastAsia"/>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color w:val="000000" w:themeColor="text1"/>
                <w:kern w:val="0"/>
                <w:sz w:val="24"/>
                <w:szCs w:val="24"/>
                <w:lang w:val="en-US" w:eastAsia="en-US" w:bidi="zh-CN"/>
                <w14:textFill>
                  <w14:solidFill>
                    <w14:schemeClr w14:val="tx1"/>
                  </w14:solidFill>
                </w14:textFill>
              </w:rPr>
              <w:t>拟同意</w:t>
            </w:r>
          </w:p>
        </w:tc>
      </w:tr>
      <w:tr w14:paraId="7ECDD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0" w:hRule="atLeast"/>
          <w:jc w:val="center"/>
        </w:trPr>
        <w:tc>
          <w:tcPr>
            <w:tcW w:w="1118" w:type="dxa"/>
            <w:vAlign w:val="center"/>
          </w:tcPr>
          <w:p w14:paraId="16EF7649">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7B9982F7">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技术</w:t>
            </w:r>
          </w:p>
          <w:p w14:paraId="4B4243A1">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指标</w:t>
            </w:r>
          </w:p>
        </w:tc>
        <w:tc>
          <w:tcPr>
            <w:tcW w:w="8512" w:type="dxa"/>
            <w:gridSpan w:val="2"/>
            <w:tcBorders>
              <w:right w:val="single" w:color="000000" w:sz="6" w:space="0"/>
            </w:tcBorders>
            <w:vAlign w:val="center"/>
          </w:tcPr>
          <w:p w14:paraId="482941BE">
            <w:pPr>
              <w:autoSpaceDE w:val="0"/>
              <w:autoSpaceDN w:val="0"/>
              <w:spacing w:line="360" w:lineRule="auto"/>
              <w:rPr>
                <w:rFonts w:ascii="Times New Roman" w:hAnsi="Times New Roman" w:eastAsia="Times New Roman" w:cs="Times New Roman"/>
                <w:b/>
                <w:bCs/>
                <w:color w:val="000000"/>
                <w:kern w:val="0"/>
                <w:sz w:val="24"/>
                <w:szCs w:val="24"/>
                <w:lang w:eastAsia="zh-CN"/>
              </w:rPr>
            </w:pPr>
            <w:r>
              <w:rPr>
                <w:rFonts w:hint="eastAsia" w:ascii="宋体" w:hAnsi="宋体" w:eastAsia="宋体" w:cs="宋体"/>
                <w:b/>
                <w:bCs/>
                <w:color w:val="000000"/>
                <w:kern w:val="0"/>
                <w:lang w:eastAsia="zh-CN"/>
              </w:rPr>
              <w:t xml:space="preserve">   </w:t>
            </w:r>
            <w:r>
              <w:rPr>
                <w:rFonts w:ascii="Times New Roman" w:hAnsi="Times New Roman" w:eastAsia="Times New Roman" w:cs="Times New Roman"/>
                <w:b/>
                <w:bCs/>
                <w:color w:val="000000"/>
                <w:kern w:val="0"/>
                <w:sz w:val="24"/>
                <w:szCs w:val="24"/>
                <w:lang w:eastAsia="zh-CN"/>
              </w:rPr>
              <w:t>1.  </w:t>
            </w:r>
            <w:r>
              <w:rPr>
                <w:rFonts w:ascii="宋体" w:hAnsi="宋体" w:eastAsia="宋体" w:cs="Times New Roman"/>
                <w:b/>
                <w:bCs/>
                <w:color w:val="000000"/>
                <w:kern w:val="0"/>
                <w:sz w:val="24"/>
                <w:szCs w:val="24"/>
                <w:lang w:eastAsia="zh-CN"/>
              </w:rPr>
              <w:t>气相色谱仪主机性能</w:t>
            </w:r>
            <w:r>
              <w:rPr>
                <w:rFonts w:ascii="Times New Roman" w:hAnsi="Times New Roman" w:eastAsia="Times New Roman" w:cs="Times New Roman"/>
                <w:b/>
                <w:bCs/>
                <w:color w:val="000000"/>
                <w:kern w:val="0"/>
                <w:sz w:val="24"/>
                <w:szCs w:val="24"/>
                <w:lang w:eastAsia="zh-CN"/>
              </w:rPr>
              <w:t>:</w:t>
            </w:r>
          </w:p>
          <w:p w14:paraId="71CBF016">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1.1.  </w:t>
            </w:r>
            <w:r>
              <w:rPr>
                <w:rFonts w:ascii="宋体" w:hAnsi="宋体" w:eastAsia="宋体" w:cs="Times New Roman"/>
                <w:color w:val="000000"/>
                <w:kern w:val="0"/>
                <w:sz w:val="24"/>
                <w:szCs w:val="24"/>
                <w:lang w:eastAsia="zh-CN"/>
              </w:rPr>
              <w:t>仪器主机上面配置配嵌入式一体化液晶彩色触摸电容屏，能够查看仪器状态、设置仪器参数，能够进行衬管、隔垫的维护更换操作指引；</w:t>
            </w:r>
          </w:p>
          <w:p w14:paraId="37C66292">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1.2.  </w:t>
            </w:r>
            <w:r>
              <w:rPr>
                <w:rFonts w:ascii="宋体" w:hAnsi="宋体" w:eastAsia="宋体" w:cs="Times New Roman"/>
                <w:color w:val="000000"/>
                <w:kern w:val="0"/>
                <w:sz w:val="24"/>
                <w:szCs w:val="24"/>
                <w:lang w:eastAsia="zh-CN"/>
              </w:rPr>
              <w:t>可实现远程控制功能：在不通过</w:t>
            </w:r>
            <w:r>
              <w:rPr>
                <w:rFonts w:ascii="Times New Roman" w:hAnsi="Times New Roman" w:eastAsia="Times New Roman" w:cs="Times New Roman"/>
                <w:color w:val="000000"/>
                <w:kern w:val="0"/>
                <w:sz w:val="24"/>
                <w:szCs w:val="24"/>
                <w:lang w:eastAsia="zh-CN"/>
              </w:rPr>
              <w:t>PC</w:t>
            </w:r>
            <w:r>
              <w:rPr>
                <w:rFonts w:ascii="宋体" w:hAnsi="宋体" w:eastAsia="宋体" w:cs="Times New Roman"/>
                <w:color w:val="000000"/>
                <w:kern w:val="0"/>
                <w:sz w:val="24"/>
                <w:szCs w:val="24"/>
                <w:lang w:eastAsia="zh-CN"/>
              </w:rPr>
              <w:t>的情况，无需额外软件，通过手机或平板电脑可以直接访问</w:t>
            </w:r>
            <w:r>
              <w:rPr>
                <w:rFonts w:ascii="Times New Roman" w:hAnsi="Times New Roman" w:eastAsia="Times New Roman" w:cs="Times New Roman"/>
                <w:color w:val="000000"/>
                <w:kern w:val="0"/>
                <w:sz w:val="24"/>
                <w:szCs w:val="24"/>
                <w:lang w:eastAsia="zh-CN"/>
              </w:rPr>
              <w:t>GC</w:t>
            </w:r>
            <w:r>
              <w:rPr>
                <w:rFonts w:ascii="宋体" w:hAnsi="宋体" w:eastAsia="宋体" w:cs="Times New Roman"/>
                <w:color w:val="000000"/>
                <w:kern w:val="0"/>
                <w:sz w:val="24"/>
                <w:szCs w:val="24"/>
                <w:lang w:eastAsia="zh-CN"/>
              </w:rPr>
              <w:t>，修改方法，建立序列，维护仪器，查看仪器状态等</w:t>
            </w:r>
          </w:p>
          <w:p w14:paraId="50C04824">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1.3.  </w:t>
            </w:r>
            <w:r>
              <w:rPr>
                <w:rFonts w:ascii="宋体" w:hAnsi="宋体" w:eastAsia="宋体" w:cs="Times New Roman"/>
                <w:color w:val="000000"/>
                <w:kern w:val="0"/>
                <w:sz w:val="24"/>
                <w:szCs w:val="24"/>
                <w:lang w:eastAsia="zh-CN"/>
              </w:rPr>
              <w:t>早期预防维护，可同时监控</w:t>
            </w:r>
            <w:r>
              <w:rPr>
                <w:rFonts w:ascii="Times New Roman" w:hAnsi="Times New Roman" w:eastAsia="Times New Roman" w:cs="Times New Roman"/>
                <w:color w:val="000000"/>
                <w:kern w:val="0"/>
                <w:sz w:val="24"/>
                <w:szCs w:val="24"/>
                <w:lang w:eastAsia="zh-CN"/>
              </w:rPr>
              <w:t>45</w:t>
            </w:r>
            <w:r>
              <w:rPr>
                <w:rFonts w:ascii="宋体" w:hAnsi="宋体" w:eastAsia="宋体" w:cs="Times New Roman"/>
                <w:color w:val="000000"/>
                <w:kern w:val="0"/>
                <w:sz w:val="24"/>
                <w:szCs w:val="24"/>
                <w:lang w:eastAsia="zh-CN"/>
              </w:rPr>
              <w:t>个监测点，实时监控仪器部件和耗材的使用情况，及时提醒维护；</w:t>
            </w:r>
          </w:p>
          <w:p w14:paraId="7B9C6364">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1.4.  </w:t>
            </w:r>
            <w:r>
              <w:rPr>
                <w:rFonts w:ascii="宋体" w:hAnsi="宋体" w:eastAsia="宋体" w:cs="Times New Roman"/>
                <w:color w:val="000000"/>
                <w:kern w:val="0"/>
                <w:sz w:val="24"/>
                <w:szCs w:val="24"/>
                <w:lang w:eastAsia="zh-CN"/>
              </w:rPr>
              <w:t>仪器面板具有不小于</w:t>
            </w:r>
            <w:r>
              <w:rPr>
                <w:rFonts w:ascii="Times New Roman" w:hAnsi="Times New Roman" w:eastAsia="Times New Roman" w:cs="Times New Roman"/>
                <w:color w:val="000000"/>
                <w:kern w:val="0"/>
                <w:sz w:val="24"/>
                <w:szCs w:val="24"/>
                <w:lang w:eastAsia="zh-CN"/>
              </w:rPr>
              <w:t>4</w:t>
            </w:r>
            <w:r>
              <w:rPr>
                <w:rFonts w:ascii="宋体" w:hAnsi="宋体" w:eastAsia="宋体" w:cs="Times New Roman"/>
                <w:color w:val="000000"/>
                <w:kern w:val="0"/>
                <w:sz w:val="24"/>
                <w:szCs w:val="24"/>
                <w:lang w:eastAsia="zh-CN"/>
              </w:rPr>
              <w:t>英寸触摸屏，可以实时访问仪器状态，配置和流路信息；</w:t>
            </w:r>
          </w:p>
          <w:p w14:paraId="399DFD1F">
            <w:pPr>
              <w:autoSpaceDE w:val="0"/>
              <w:autoSpaceDN w:val="0"/>
              <w:spacing w:line="360" w:lineRule="auto"/>
              <w:ind w:left="288"/>
              <w:rPr>
                <w:rFonts w:ascii="Times New Roman" w:hAnsi="Times New Roman" w:eastAsia="Times New Roman" w:cs="Times New Roman"/>
                <w:b/>
                <w:bCs/>
                <w:color w:val="000000"/>
                <w:kern w:val="0"/>
                <w:sz w:val="24"/>
                <w:szCs w:val="24"/>
                <w:lang w:eastAsia="zh-CN"/>
              </w:rPr>
            </w:pPr>
            <w:r>
              <w:rPr>
                <w:rFonts w:ascii="Times New Roman" w:hAnsi="Times New Roman" w:eastAsia="Times New Roman" w:cs="Times New Roman"/>
                <w:b/>
                <w:bCs/>
                <w:color w:val="000000"/>
                <w:kern w:val="0"/>
                <w:sz w:val="24"/>
                <w:szCs w:val="24"/>
                <w:lang w:eastAsia="zh-CN"/>
              </w:rPr>
              <w:t>2.  </w:t>
            </w:r>
            <w:r>
              <w:rPr>
                <w:rFonts w:ascii="宋体" w:hAnsi="宋体" w:eastAsia="宋体" w:cs="Times New Roman"/>
                <w:b/>
                <w:bCs/>
                <w:color w:val="000000"/>
                <w:kern w:val="0"/>
                <w:sz w:val="24"/>
                <w:szCs w:val="24"/>
                <w:lang w:eastAsia="zh-CN"/>
              </w:rPr>
              <w:t>柱温箱</w:t>
            </w:r>
          </w:p>
          <w:p w14:paraId="7D046999">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2.1.</w:t>
            </w:r>
            <w:r>
              <w:rPr>
                <w:rFonts w:ascii="宋体" w:hAnsi="宋体" w:eastAsia="宋体" w:cs="Times New Roman"/>
                <w:color w:val="000000"/>
                <w:kern w:val="0"/>
                <w:sz w:val="24"/>
                <w:szCs w:val="24"/>
                <w:lang w:eastAsia="zh-CN"/>
              </w:rPr>
              <w:t>温度范围：室温以上</w:t>
            </w:r>
            <w:r>
              <w:rPr>
                <w:rFonts w:ascii="Times New Roman" w:hAnsi="Times New Roman" w:eastAsia="Times New Roman" w:cs="Times New Roman"/>
                <w:color w:val="000000"/>
                <w:kern w:val="0"/>
                <w:sz w:val="24"/>
                <w:szCs w:val="24"/>
                <w:lang w:eastAsia="zh-CN"/>
              </w:rPr>
              <w:t>10˚C</w:t>
            </w:r>
            <w:r>
              <w:rPr>
                <w:rFonts w:ascii="宋体" w:hAnsi="宋体" w:eastAsia="宋体" w:cs="Times New Roman"/>
                <w:color w:val="000000"/>
                <w:kern w:val="0"/>
                <w:sz w:val="24"/>
                <w:szCs w:val="24"/>
                <w:lang w:eastAsia="zh-CN"/>
              </w:rPr>
              <w:t>～</w:t>
            </w:r>
            <w:r>
              <w:rPr>
                <w:rFonts w:ascii="Times New Roman" w:hAnsi="Times New Roman" w:eastAsia="Times New Roman" w:cs="Times New Roman"/>
                <w:color w:val="000000"/>
                <w:kern w:val="0"/>
                <w:sz w:val="24"/>
                <w:szCs w:val="24"/>
                <w:lang w:eastAsia="zh-CN"/>
              </w:rPr>
              <w:t>425˚C</w:t>
            </w:r>
            <w:r>
              <w:rPr>
                <w:rFonts w:ascii="宋体" w:hAnsi="宋体" w:eastAsia="宋体" w:cs="Times New Roman"/>
                <w:color w:val="000000"/>
                <w:kern w:val="0"/>
                <w:sz w:val="24"/>
                <w:szCs w:val="24"/>
                <w:lang w:eastAsia="zh-CN"/>
              </w:rPr>
              <w:t>，温度设置分辨率：</w:t>
            </w:r>
            <w:r>
              <w:rPr>
                <w:rFonts w:ascii="Times New Roman" w:hAnsi="Times New Roman" w:eastAsia="Times New Roman" w:cs="Times New Roman"/>
                <w:color w:val="000000"/>
                <w:kern w:val="0"/>
                <w:sz w:val="24"/>
                <w:szCs w:val="24"/>
                <w:lang w:eastAsia="zh-CN"/>
              </w:rPr>
              <w:t xml:space="preserve">0.1°C  </w:t>
            </w:r>
            <w:r>
              <w:rPr>
                <w:rFonts w:ascii="宋体" w:hAnsi="宋体" w:eastAsia="宋体" w:cs="Times New Roman"/>
                <w:color w:val="000000"/>
                <w:kern w:val="0"/>
                <w:sz w:val="24"/>
                <w:szCs w:val="24"/>
                <w:lang w:eastAsia="zh-CN"/>
              </w:rPr>
              <w:t>；</w:t>
            </w:r>
          </w:p>
          <w:p w14:paraId="2D53FC88">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2.2.</w:t>
            </w:r>
            <w:r>
              <w:rPr>
                <w:rFonts w:ascii="宋体" w:hAnsi="宋体" w:eastAsia="宋体" w:cs="Times New Roman"/>
                <w:color w:val="000000"/>
                <w:kern w:val="0"/>
                <w:sz w:val="24"/>
                <w:szCs w:val="24"/>
                <w:lang w:eastAsia="zh-CN"/>
              </w:rPr>
              <w:t>最大升温速率：</w:t>
            </w:r>
            <w:r>
              <w:rPr>
                <w:rFonts w:ascii="Times New Roman" w:hAnsi="Times New Roman" w:eastAsia="Times New Roman" w:cs="Times New Roman"/>
                <w:color w:val="000000"/>
                <w:kern w:val="0"/>
                <w:sz w:val="24"/>
                <w:szCs w:val="24"/>
                <w:lang w:eastAsia="zh-CN"/>
              </w:rPr>
              <w:t>≥75℃/min</w:t>
            </w:r>
            <w:r>
              <w:rPr>
                <w:rFonts w:ascii="宋体" w:hAnsi="宋体" w:eastAsia="宋体" w:cs="Times New Roman"/>
                <w:color w:val="000000"/>
                <w:kern w:val="0"/>
                <w:sz w:val="24"/>
                <w:szCs w:val="24"/>
                <w:lang w:eastAsia="zh-CN"/>
              </w:rPr>
              <w:t>；</w:t>
            </w:r>
          </w:p>
          <w:p w14:paraId="0A0BC141">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2.3. </w:t>
            </w:r>
            <w:r>
              <w:rPr>
                <w:rFonts w:ascii="宋体" w:hAnsi="宋体" w:eastAsia="宋体" w:cs="Times New Roman"/>
                <w:color w:val="000000"/>
                <w:kern w:val="0"/>
                <w:sz w:val="24"/>
                <w:szCs w:val="24"/>
                <w:lang w:eastAsia="zh-CN"/>
              </w:rPr>
              <w:t>温度稳定性：当环境温度变化</w:t>
            </w:r>
            <w:r>
              <w:rPr>
                <w:rFonts w:ascii="Times New Roman" w:hAnsi="Times New Roman" w:eastAsia="Times New Roman" w:cs="Times New Roman"/>
                <w:color w:val="000000"/>
                <w:kern w:val="0"/>
                <w:sz w:val="24"/>
                <w:szCs w:val="24"/>
                <w:lang w:eastAsia="zh-CN"/>
              </w:rPr>
              <w:t>1˚C</w:t>
            </w:r>
            <w:r>
              <w:rPr>
                <w:rFonts w:ascii="宋体" w:hAnsi="宋体" w:eastAsia="宋体" w:cs="Times New Roman"/>
                <w:color w:val="000000"/>
                <w:kern w:val="0"/>
                <w:sz w:val="24"/>
                <w:szCs w:val="24"/>
                <w:lang w:eastAsia="zh-CN"/>
              </w:rPr>
              <w:t>时，优于</w:t>
            </w:r>
            <w:r>
              <w:rPr>
                <w:rFonts w:ascii="Times New Roman" w:hAnsi="Times New Roman" w:eastAsia="Times New Roman" w:cs="Times New Roman"/>
                <w:color w:val="000000"/>
                <w:kern w:val="0"/>
                <w:sz w:val="24"/>
                <w:szCs w:val="24"/>
                <w:lang w:eastAsia="zh-CN"/>
              </w:rPr>
              <w:t>0.01˚C</w:t>
            </w:r>
          </w:p>
          <w:p w14:paraId="000197E9">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2.4. </w:t>
            </w:r>
            <w:r>
              <w:rPr>
                <w:rFonts w:ascii="宋体" w:hAnsi="宋体" w:eastAsia="宋体" w:cs="Times New Roman"/>
                <w:color w:val="000000"/>
                <w:kern w:val="0"/>
                <w:sz w:val="24"/>
                <w:szCs w:val="24"/>
                <w:lang w:eastAsia="zh-CN"/>
              </w:rPr>
              <w:t>程序升温：</w:t>
            </w:r>
            <w:r>
              <w:rPr>
                <w:rFonts w:ascii="Times New Roman" w:hAnsi="Times New Roman" w:eastAsia="Times New Roman" w:cs="Times New Roman"/>
                <w:color w:val="000000"/>
                <w:kern w:val="0"/>
                <w:sz w:val="24"/>
                <w:szCs w:val="24"/>
                <w:lang w:eastAsia="zh-CN"/>
              </w:rPr>
              <w:t>≥32</w:t>
            </w:r>
            <w:r>
              <w:rPr>
                <w:rFonts w:ascii="宋体" w:hAnsi="宋体" w:eastAsia="宋体" w:cs="Times New Roman"/>
                <w:color w:val="000000"/>
                <w:kern w:val="0"/>
                <w:sz w:val="24"/>
                <w:szCs w:val="24"/>
                <w:lang w:eastAsia="zh-CN"/>
              </w:rPr>
              <w:t>阶</w:t>
            </w:r>
            <w:r>
              <w:rPr>
                <w:rFonts w:ascii="Times New Roman" w:hAnsi="Times New Roman" w:eastAsia="Times New Roman" w:cs="Times New Roman"/>
                <w:color w:val="000000"/>
                <w:kern w:val="0"/>
                <w:sz w:val="24"/>
                <w:szCs w:val="24"/>
                <w:lang w:eastAsia="zh-CN"/>
              </w:rPr>
              <w:t>33</w:t>
            </w:r>
            <w:r>
              <w:rPr>
                <w:rFonts w:ascii="宋体" w:hAnsi="宋体" w:eastAsia="宋体" w:cs="Times New Roman"/>
                <w:color w:val="000000"/>
                <w:kern w:val="0"/>
                <w:sz w:val="24"/>
                <w:szCs w:val="24"/>
                <w:lang w:eastAsia="zh-CN"/>
              </w:rPr>
              <w:t>恒温平台；</w:t>
            </w:r>
          </w:p>
          <w:p w14:paraId="582D6916">
            <w:pPr>
              <w:autoSpaceDE w:val="0"/>
              <w:autoSpaceDN w:val="0"/>
              <w:spacing w:line="360" w:lineRule="auto"/>
              <w:ind w:left="288"/>
              <w:rPr>
                <w:rFonts w:ascii="Times New Roman" w:hAnsi="Times New Roman" w:eastAsia="Times New Roman" w:cs="Times New Roman"/>
                <w:b/>
                <w:bCs/>
                <w:color w:val="000000"/>
                <w:kern w:val="0"/>
                <w:sz w:val="24"/>
                <w:szCs w:val="24"/>
                <w:lang w:eastAsia="zh-CN"/>
              </w:rPr>
            </w:pPr>
            <w:r>
              <w:rPr>
                <w:rFonts w:ascii="Times New Roman" w:hAnsi="Times New Roman" w:eastAsia="Times New Roman" w:cs="Times New Roman"/>
                <w:b/>
                <w:bCs/>
                <w:color w:val="000000"/>
                <w:kern w:val="0"/>
                <w:sz w:val="24"/>
                <w:szCs w:val="24"/>
                <w:lang w:eastAsia="zh-CN"/>
              </w:rPr>
              <w:t>3.   </w:t>
            </w:r>
            <w:r>
              <w:rPr>
                <w:rFonts w:ascii="宋体" w:hAnsi="宋体" w:eastAsia="宋体" w:cs="Times New Roman"/>
                <w:b/>
                <w:bCs/>
                <w:color w:val="000000"/>
                <w:kern w:val="0"/>
                <w:sz w:val="24"/>
                <w:szCs w:val="24"/>
                <w:lang w:eastAsia="zh-CN"/>
              </w:rPr>
              <w:t>氢火焰离子化检测器</w:t>
            </w:r>
          </w:p>
          <w:p w14:paraId="6125479C">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3.1.</w:t>
            </w:r>
            <w:r>
              <w:rPr>
                <w:rFonts w:ascii="宋体" w:hAnsi="宋体" w:eastAsia="宋体" w:cs="Times New Roman"/>
                <w:color w:val="000000"/>
                <w:kern w:val="0"/>
                <w:sz w:val="24"/>
                <w:szCs w:val="24"/>
                <w:lang w:eastAsia="zh-CN"/>
              </w:rPr>
              <w:t>具有自动灭火检测功能</w:t>
            </w:r>
          </w:p>
          <w:p w14:paraId="6E391279">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3.2. </w:t>
            </w:r>
            <w:r>
              <w:rPr>
                <w:rFonts w:ascii="宋体" w:hAnsi="宋体" w:eastAsia="宋体" w:cs="Times New Roman"/>
                <w:color w:val="000000"/>
                <w:kern w:val="0"/>
                <w:sz w:val="24"/>
                <w:szCs w:val="24"/>
                <w:lang w:eastAsia="zh-CN"/>
              </w:rPr>
              <w:t>最低检测限：</w:t>
            </w:r>
            <w:r>
              <w:rPr>
                <w:rFonts w:ascii="Times New Roman" w:hAnsi="Times New Roman" w:eastAsia="Times New Roman" w:cs="Times New Roman"/>
                <w:color w:val="000000"/>
                <w:kern w:val="0"/>
                <w:sz w:val="24"/>
                <w:szCs w:val="24"/>
                <w:lang w:eastAsia="zh-CN"/>
              </w:rPr>
              <w:t>CH</w:t>
            </w:r>
            <w:r>
              <w:rPr>
                <w:rFonts w:ascii="Times New Roman" w:hAnsi="Times New Roman" w:eastAsia="Times New Roman" w:cs="Times New Roman"/>
                <w:color w:val="000000"/>
                <w:kern w:val="0"/>
                <w:sz w:val="24"/>
                <w:szCs w:val="24"/>
                <w:vertAlign w:val="subscript"/>
                <w:lang w:eastAsia="zh-CN"/>
              </w:rPr>
              <w:t>4</w:t>
            </w:r>
            <w:r>
              <w:rPr>
                <w:rFonts w:ascii="宋体" w:hAnsi="宋体" w:eastAsia="宋体" w:cs="Times New Roman"/>
                <w:color w:val="000000"/>
                <w:kern w:val="0"/>
                <w:sz w:val="24"/>
                <w:szCs w:val="24"/>
                <w:lang w:eastAsia="zh-CN"/>
              </w:rPr>
              <w:t>：</w:t>
            </w:r>
            <w:r>
              <w:rPr>
                <w:rFonts w:ascii="Times New Roman" w:hAnsi="Times New Roman" w:eastAsia="Times New Roman" w:cs="Times New Roman"/>
                <w:color w:val="000000"/>
                <w:kern w:val="0"/>
                <w:sz w:val="24"/>
                <w:szCs w:val="24"/>
                <w:lang w:eastAsia="zh-CN"/>
              </w:rPr>
              <w:t>≤ 0.2ppm , CO</w:t>
            </w:r>
            <w:r>
              <w:rPr>
                <w:rFonts w:ascii="Times New Roman" w:hAnsi="Times New Roman" w:eastAsia="Times New Roman" w:cs="Times New Roman"/>
                <w:color w:val="000000"/>
                <w:kern w:val="0"/>
                <w:sz w:val="24"/>
                <w:szCs w:val="24"/>
                <w:vertAlign w:val="subscript"/>
                <w:lang w:eastAsia="zh-CN"/>
              </w:rPr>
              <w:t>2</w:t>
            </w:r>
            <w:r>
              <w:rPr>
                <w:rFonts w:ascii="Times New Roman" w:hAnsi="Times New Roman" w:eastAsia="Times New Roman" w:cs="Times New Roman"/>
                <w:color w:val="000000"/>
                <w:kern w:val="0"/>
                <w:sz w:val="24"/>
                <w:szCs w:val="24"/>
                <w:lang w:eastAsia="zh-CN"/>
              </w:rPr>
              <w:t xml:space="preserve"> ≤0.4ppm</w:t>
            </w:r>
          </w:p>
          <w:p w14:paraId="1E868DE4">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3.3. </w:t>
            </w:r>
            <w:r>
              <w:rPr>
                <w:rFonts w:ascii="宋体" w:hAnsi="宋体" w:eastAsia="宋体" w:cs="Times New Roman"/>
                <w:color w:val="000000"/>
                <w:kern w:val="0"/>
                <w:sz w:val="24"/>
                <w:szCs w:val="24"/>
                <w:lang w:eastAsia="zh-CN"/>
              </w:rPr>
              <w:t>动态范围：</w:t>
            </w:r>
            <w:r>
              <w:rPr>
                <w:rFonts w:ascii="Times New Roman" w:hAnsi="Times New Roman" w:eastAsia="Times New Roman" w:cs="Times New Roman"/>
                <w:color w:val="000000"/>
                <w:kern w:val="0"/>
                <w:sz w:val="24"/>
                <w:szCs w:val="24"/>
                <w:lang w:eastAsia="zh-CN"/>
              </w:rPr>
              <w:t>&gt;10</w:t>
            </w:r>
            <w:r>
              <w:rPr>
                <w:rFonts w:ascii="Times New Roman" w:hAnsi="Times New Roman" w:eastAsia="Times New Roman" w:cs="Times New Roman"/>
                <w:color w:val="000000"/>
                <w:kern w:val="0"/>
                <w:sz w:val="24"/>
                <w:szCs w:val="24"/>
                <w:vertAlign w:val="superscript"/>
                <w:lang w:eastAsia="zh-CN"/>
              </w:rPr>
              <w:t>7</w:t>
            </w:r>
          </w:p>
          <w:p w14:paraId="2AFE26E4">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3.4.  </w:t>
            </w:r>
            <w:r>
              <w:rPr>
                <w:rFonts w:ascii="宋体" w:hAnsi="宋体" w:eastAsia="宋体" w:cs="Times New Roman"/>
                <w:color w:val="000000"/>
                <w:kern w:val="0"/>
                <w:sz w:val="24"/>
                <w:szCs w:val="24"/>
                <w:lang w:eastAsia="zh-CN"/>
              </w:rPr>
              <w:t>采样频率：≥</w:t>
            </w:r>
            <w:r>
              <w:rPr>
                <w:rFonts w:ascii="Times New Roman" w:hAnsi="Times New Roman" w:eastAsia="Times New Roman" w:cs="Times New Roman"/>
                <w:color w:val="000000"/>
                <w:kern w:val="0"/>
                <w:sz w:val="24"/>
                <w:szCs w:val="24"/>
                <w:lang w:eastAsia="zh-CN"/>
              </w:rPr>
              <w:t>1000Hz</w:t>
            </w:r>
          </w:p>
          <w:p w14:paraId="7326C21B">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3.5.  </w:t>
            </w:r>
            <w:r>
              <w:rPr>
                <w:rFonts w:ascii="宋体" w:hAnsi="宋体" w:eastAsia="宋体" w:cs="Times New Roman"/>
                <w:color w:val="000000"/>
                <w:kern w:val="0"/>
                <w:sz w:val="24"/>
                <w:szCs w:val="24"/>
                <w:lang w:eastAsia="zh-CN"/>
              </w:rPr>
              <w:t>最高操作温度：</w:t>
            </w:r>
            <w:r>
              <w:rPr>
                <w:rFonts w:ascii="Times New Roman" w:hAnsi="Times New Roman" w:eastAsia="Times New Roman" w:cs="Times New Roman"/>
                <w:color w:val="000000"/>
                <w:kern w:val="0"/>
                <w:sz w:val="24"/>
                <w:szCs w:val="24"/>
                <w:lang w:eastAsia="zh-CN"/>
              </w:rPr>
              <w:t>≥425°C</w:t>
            </w:r>
          </w:p>
          <w:p w14:paraId="30F17860">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 xml:space="preserve">3.6.  GC Assist </w:t>
            </w:r>
            <w:r>
              <w:rPr>
                <w:rFonts w:ascii="宋体" w:hAnsi="宋体" w:eastAsia="宋体" w:cs="Times New Roman"/>
                <w:color w:val="000000"/>
                <w:kern w:val="0"/>
                <w:sz w:val="24"/>
                <w:szCs w:val="24"/>
                <w:lang w:eastAsia="zh-CN"/>
              </w:rPr>
              <w:t>可以同时采集和监控</w:t>
            </w:r>
            <w:r>
              <w:rPr>
                <w:rFonts w:ascii="Times New Roman" w:hAnsi="Times New Roman" w:eastAsia="Times New Roman" w:cs="Times New Roman"/>
                <w:color w:val="000000"/>
                <w:kern w:val="0"/>
                <w:sz w:val="24"/>
                <w:szCs w:val="24"/>
                <w:lang w:eastAsia="zh-CN"/>
              </w:rPr>
              <w:t>FID</w:t>
            </w:r>
            <w:r>
              <w:rPr>
                <w:rFonts w:ascii="宋体" w:hAnsi="宋体" w:eastAsia="宋体" w:cs="Times New Roman"/>
                <w:color w:val="000000"/>
                <w:kern w:val="0"/>
                <w:sz w:val="24"/>
                <w:szCs w:val="24"/>
                <w:lang w:eastAsia="zh-CN"/>
              </w:rPr>
              <w:t>检测器信号，检测器温度，检测器燃气流量，检测器助燃气流量</w:t>
            </w:r>
            <w:r>
              <w:rPr>
                <w:rFonts w:ascii="Times New Roman" w:hAnsi="Times New Roman" w:eastAsia="Times New Roman" w:cs="Times New Roman"/>
                <w:color w:val="000000"/>
                <w:kern w:val="0"/>
                <w:sz w:val="24"/>
                <w:szCs w:val="24"/>
                <w:lang w:eastAsia="zh-CN"/>
              </w:rPr>
              <w:t>4</w:t>
            </w:r>
            <w:r>
              <w:rPr>
                <w:rFonts w:ascii="宋体" w:hAnsi="宋体" w:eastAsia="宋体" w:cs="Times New Roman"/>
                <w:color w:val="000000"/>
                <w:kern w:val="0"/>
                <w:sz w:val="24"/>
                <w:szCs w:val="24"/>
                <w:lang w:eastAsia="zh-CN"/>
              </w:rPr>
              <w:t>个不同通道的数据和报告，实施监控仪器的状态</w:t>
            </w:r>
            <w:r>
              <w:rPr>
                <w:rFonts w:ascii="Times New Roman" w:hAnsi="Times New Roman" w:eastAsia="Times New Roman" w:cs="Times New Roman"/>
                <w:color w:val="000000"/>
                <w:kern w:val="0"/>
                <w:sz w:val="24"/>
                <w:szCs w:val="24"/>
                <w:lang w:eastAsia="zh-CN"/>
              </w:rPr>
              <w:t>;</w:t>
            </w:r>
          </w:p>
          <w:p w14:paraId="3AA3CA60">
            <w:pPr>
              <w:autoSpaceDE w:val="0"/>
              <w:autoSpaceDN w:val="0"/>
              <w:spacing w:line="360" w:lineRule="auto"/>
              <w:ind w:left="288"/>
              <w:rPr>
                <w:rFonts w:ascii="Times New Roman" w:hAnsi="Times New Roman" w:eastAsia="Times New Roman" w:cs="Times New Roman"/>
                <w:b/>
                <w:bCs/>
                <w:color w:val="000000"/>
                <w:kern w:val="0"/>
                <w:sz w:val="24"/>
                <w:szCs w:val="24"/>
                <w:lang w:eastAsia="zh-CN"/>
              </w:rPr>
            </w:pPr>
            <w:r>
              <w:rPr>
                <w:rFonts w:ascii="Times New Roman" w:hAnsi="Times New Roman" w:eastAsia="Times New Roman" w:cs="Times New Roman"/>
                <w:b/>
                <w:bCs/>
                <w:color w:val="000000"/>
                <w:kern w:val="0"/>
                <w:sz w:val="24"/>
                <w:szCs w:val="24"/>
                <w:lang w:eastAsia="zh-CN"/>
              </w:rPr>
              <w:t>4. </w:t>
            </w:r>
            <w:r>
              <w:rPr>
                <w:rFonts w:ascii="宋体" w:hAnsi="宋体" w:eastAsia="宋体" w:cs="Times New Roman"/>
                <w:b/>
                <w:bCs/>
                <w:color w:val="000000"/>
                <w:kern w:val="0"/>
                <w:sz w:val="24"/>
                <w:szCs w:val="24"/>
                <w:lang w:eastAsia="zh-CN"/>
              </w:rPr>
              <w:t>电子捕获检测器</w:t>
            </w:r>
          </w:p>
          <w:p w14:paraId="38979400">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4.1. EPC</w:t>
            </w:r>
            <w:r>
              <w:rPr>
                <w:rFonts w:ascii="宋体" w:hAnsi="宋体" w:eastAsia="宋体" w:cs="Times New Roman"/>
                <w:color w:val="000000"/>
                <w:kern w:val="0"/>
                <w:sz w:val="24"/>
                <w:szCs w:val="24"/>
                <w:lang w:eastAsia="zh-CN"/>
              </w:rPr>
              <w:t>电子压力</w:t>
            </w:r>
            <w:r>
              <w:rPr>
                <w:rFonts w:ascii="Times New Roman" w:hAnsi="Times New Roman" w:eastAsia="Times New Roman" w:cs="Times New Roman"/>
                <w:color w:val="000000"/>
                <w:kern w:val="0"/>
                <w:sz w:val="24"/>
                <w:szCs w:val="24"/>
                <w:lang w:eastAsia="zh-CN"/>
              </w:rPr>
              <w:t>/</w:t>
            </w:r>
            <w:r>
              <w:rPr>
                <w:rFonts w:ascii="宋体" w:hAnsi="宋体" w:eastAsia="宋体" w:cs="Times New Roman"/>
                <w:color w:val="000000"/>
                <w:kern w:val="0"/>
                <w:sz w:val="24"/>
                <w:szCs w:val="24"/>
                <w:lang w:eastAsia="zh-CN"/>
              </w:rPr>
              <w:t>流量控制</w:t>
            </w:r>
            <w:r>
              <w:rPr>
                <w:rFonts w:ascii="Times New Roman" w:hAnsi="Times New Roman" w:eastAsia="Times New Roman" w:cs="Times New Roman"/>
                <w:color w:val="000000"/>
                <w:kern w:val="0"/>
                <w:sz w:val="24"/>
                <w:szCs w:val="24"/>
                <w:lang w:eastAsia="zh-CN"/>
              </w:rPr>
              <w:t>;</w:t>
            </w:r>
          </w:p>
          <w:p w14:paraId="2A1596A6">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4.2. </w:t>
            </w:r>
            <w:r>
              <w:rPr>
                <w:rFonts w:ascii="宋体" w:hAnsi="宋体" w:eastAsia="宋体" w:cs="Times New Roman"/>
                <w:color w:val="000000"/>
                <w:kern w:val="0"/>
                <w:sz w:val="24"/>
                <w:szCs w:val="24"/>
                <w:lang w:eastAsia="zh-CN"/>
              </w:rPr>
              <w:t>安装隐含阳极和大体积流速，防止污染</w:t>
            </w:r>
            <w:r>
              <w:rPr>
                <w:rFonts w:hint="eastAsia" w:ascii="宋体" w:hAnsi="宋体" w:eastAsia="宋体" w:cs="Times New Roman"/>
                <w:color w:val="000000"/>
                <w:kern w:val="0"/>
                <w:sz w:val="24"/>
                <w:szCs w:val="24"/>
                <w:lang w:eastAsia="zh-CN"/>
              </w:rPr>
              <w:t>；</w:t>
            </w:r>
          </w:p>
          <w:p w14:paraId="19411F32">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4.3. </w:t>
            </w:r>
            <w:r>
              <w:rPr>
                <w:rFonts w:ascii="宋体" w:hAnsi="宋体" w:eastAsia="宋体" w:cs="Times New Roman"/>
                <w:color w:val="000000"/>
                <w:kern w:val="0"/>
                <w:sz w:val="24"/>
                <w:szCs w:val="24"/>
                <w:lang w:eastAsia="zh-CN"/>
              </w:rPr>
              <w:t>最高使用温度：≤</w:t>
            </w:r>
            <w:r>
              <w:rPr>
                <w:rFonts w:ascii="Times New Roman" w:hAnsi="Times New Roman" w:eastAsia="Times New Roman" w:cs="Times New Roman"/>
                <w:color w:val="000000"/>
                <w:kern w:val="0"/>
                <w:sz w:val="24"/>
                <w:szCs w:val="24"/>
                <w:lang w:eastAsia="zh-CN"/>
              </w:rPr>
              <w:t>400℃</w:t>
            </w:r>
            <w:r>
              <w:rPr>
                <w:rFonts w:hint="eastAsia" w:ascii="宋体" w:hAnsi="宋体" w:eastAsia="宋体" w:cs="宋体"/>
                <w:color w:val="000000"/>
                <w:kern w:val="0"/>
                <w:sz w:val="24"/>
                <w:szCs w:val="24"/>
                <w:lang w:eastAsia="zh-CN"/>
              </w:rPr>
              <w:t>；</w:t>
            </w:r>
          </w:p>
          <w:p w14:paraId="7256802D">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4.4. </w:t>
            </w:r>
            <w:r>
              <w:rPr>
                <w:rFonts w:ascii="宋体" w:hAnsi="宋体" w:eastAsia="宋体" w:cs="Times New Roman"/>
                <w:color w:val="000000"/>
                <w:kern w:val="0"/>
                <w:sz w:val="24"/>
                <w:szCs w:val="24"/>
                <w:lang w:eastAsia="zh-CN"/>
              </w:rPr>
              <w:t>最低检测限：</w:t>
            </w:r>
            <w:r>
              <w:rPr>
                <w:rFonts w:ascii="Times New Roman" w:hAnsi="Times New Roman" w:eastAsia="Times New Roman" w:cs="Times New Roman"/>
                <w:color w:val="000000"/>
                <w:kern w:val="0"/>
                <w:sz w:val="24"/>
                <w:szCs w:val="24"/>
                <w:lang w:eastAsia="zh-CN"/>
              </w:rPr>
              <w:t>N</w:t>
            </w:r>
            <w:r>
              <w:rPr>
                <w:rFonts w:ascii="Times New Roman" w:hAnsi="Times New Roman" w:eastAsia="Times New Roman" w:cs="Times New Roman"/>
                <w:color w:val="000000"/>
                <w:kern w:val="0"/>
                <w:sz w:val="24"/>
                <w:szCs w:val="24"/>
                <w:vertAlign w:val="subscript"/>
                <w:lang w:eastAsia="zh-CN"/>
              </w:rPr>
              <w:t>2</w:t>
            </w:r>
            <w:r>
              <w:rPr>
                <w:rFonts w:ascii="Times New Roman" w:hAnsi="Times New Roman" w:eastAsia="Times New Roman" w:cs="Times New Roman"/>
                <w:color w:val="000000"/>
                <w:kern w:val="0"/>
                <w:sz w:val="24"/>
                <w:szCs w:val="24"/>
                <w:lang w:eastAsia="zh-CN"/>
              </w:rPr>
              <w:t>O≤ 100ppb</w:t>
            </w:r>
            <w:r>
              <w:rPr>
                <w:rFonts w:ascii="宋体" w:hAnsi="宋体" w:eastAsia="宋体" w:cs="Times New Roman"/>
                <w:color w:val="000000"/>
                <w:kern w:val="0"/>
                <w:sz w:val="24"/>
                <w:szCs w:val="24"/>
                <w:lang w:eastAsia="zh-CN"/>
              </w:rPr>
              <w:t>；</w:t>
            </w:r>
          </w:p>
          <w:p w14:paraId="7B803555">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4.5. </w:t>
            </w:r>
            <w:r>
              <w:rPr>
                <w:rFonts w:ascii="宋体" w:hAnsi="宋体" w:eastAsia="宋体" w:cs="Times New Roman"/>
                <w:color w:val="000000"/>
                <w:kern w:val="0"/>
                <w:sz w:val="24"/>
                <w:szCs w:val="24"/>
                <w:lang w:eastAsia="zh-CN"/>
              </w:rPr>
              <w:t>最高数据采集速率：</w:t>
            </w:r>
            <w:r>
              <w:rPr>
                <w:rFonts w:ascii="Times New Roman" w:hAnsi="Times New Roman" w:eastAsia="Times New Roman" w:cs="Times New Roman"/>
                <w:color w:val="000000"/>
                <w:kern w:val="0"/>
                <w:sz w:val="24"/>
                <w:szCs w:val="24"/>
                <w:lang w:eastAsia="zh-CN"/>
              </w:rPr>
              <w:t>≥1000 Hz;</w:t>
            </w:r>
          </w:p>
          <w:p w14:paraId="008AE8CE">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 xml:space="preserve">4.6. </w:t>
            </w:r>
            <w:r>
              <w:rPr>
                <w:rFonts w:ascii="宋体" w:hAnsi="宋体" w:eastAsia="宋体" w:cs="Times New Roman"/>
                <w:color w:val="000000"/>
                <w:kern w:val="0"/>
                <w:sz w:val="24"/>
                <w:szCs w:val="24"/>
                <w:lang w:eastAsia="zh-CN"/>
              </w:rPr>
              <w:t>动态范围：</w:t>
            </w:r>
            <w:r>
              <w:rPr>
                <w:rFonts w:ascii="Times New Roman" w:hAnsi="Times New Roman" w:eastAsia="Times New Roman" w:cs="Times New Roman"/>
                <w:color w:val="000000"/>
                <w:kern w:val="0"/>
                <w:sz w:val="24"/>
                <w:szCs w:val="24"/>
                <w:lang w:eastAsia="zh-CN"/>
              </w:rPr>
              <w:t>&gt;10</w:t>
            </w:r>
            <w:r>
              <w:rPr>
                <w:rFonts w:ascii="Times New Roman" w:hAnsi="Times New Roman" w:eastAsia="Times New Roman" w:cs="Times New Roman"/>
                <w:color w:val="000000"/>
                <w:kern w:val="0"/>
                <w:sz w:val="24"/>
                <w:szCs w:val="24"/>
                <w:vertAlign w:val="superscript"/>
                <w:lang w:eastAsia="zh-CN"/>
              </w:rPr>
              <w:t>4</w:t>
            </w:r>
            <w:r>
              <w:rPr>
                <w:rFonts w:ascii="宋体" w:hAnsi="宋体" w:eastAsia="宋体" w:cs="Times New Roman"/>
                <w:color w:val="000000"/>
                <w:kern w:val="0"/>
                <w:sz w:val="24"/>
                <w:szCs w:val="24"/>
                <w:lang w:eastAsia="zh-CN"/>
              </w:rPr>
              <w:t>（林丹）</w:t>
            </w:r>
            <w:r>
              <w:rPr>
                <w:rFonts w:ascii="Times New Roman" w:hAnsi="Times New Roman" w:eastAsia="Times New Roman" w:cs="Times New Roman"/>
                <w:color w:val="000000"/>
                <w:kern w:val="0"/>
                <w:sz w:val="24"/>
                <w:szCs w:val="24"/>
                <w:lang w:eastAsia="zh-CN"/>
              </w:rPr>
              <w:t>;</w:t>
            </w:r>
          </w:p>
          <w:p w14:paraId="6C11E21A">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 xml:space="preserve">4.7.  GC Assist </w:t>
            </w:r>
            <w:r>
              <w:rPr>
                <w:rFonts w:ascii="宋体" w:hAnsi="宋体" w:eastAsia="宋体" w:cs="Times New Roman"/>
                <w:color w:val="000000"/>
                <w:kern w:val="0"/>
                <w:sz w:val="24"/>
                <w:szCs w:val="24"/>
                <w:lang w:eastAsia="zh-CN"/>
              </w:rPr>
              <w:t>可以同时采集和监控</w:t>
            </w:r>
            <w:r>
              <w:rPr>
                <w:rFonts w:ascii="Times New Roman" w:hAnsi="Times New Roman" w:eastAsia="Times New Roman" w:cs="Times New Roman"/>
                <w:color w:val="000000"/>
                <w:kern w:val="0"/>
                <w:sz w:val="24"/>
                <w:szCs w:val="24"/>
                <w:lang w:eastAsia="zh-CN"/>
              </w:rPr>
              <w:t>ECD</w:t>
            </w:r>
            <w:r>
              <w:rPr>
                <w:rFonts w:ascii="宋体" w:hAnsi="宋体" w:eastAsia="宋体" w:cs="Times New Roman"/>
                <w:color w:val="000000"/>
                <w:kern w:val="0"/>
                <w:sz w:val="24"/>
                <w:szCs w:val="24"/>
                <w:lang w:eastAsia="zh-CN"/>
              </w:rPr>
              <w:t>检测器信号，检测器温度，检测器尾吹气压力，检测器尾吹气流量</w:t>
            </w:r>
            <w:r>
              <w:rPr>
                <w:rFonts w:ascii="Times New Roman" w:hAnsi="Times New Roman" w:eastAsia="Times New Roman" w:cs="Times New Roman"/>
                <w:color w:val="000000"/>
                <w:kern w:val="0"/>
                <w:sz w:val="24"/>
                <w:szCs w:val="24"/>
                <w:lang w:eastAsia="zh-CN"/>
              </w:rPr>
              <w:t>4</w:t>
            </w:r>
            <w:r>
              <w:rPr>
                <w:rFonts w:ascii="宋体" w:hAnsi="宋体" w:eastAsia="宋体" w:cs="Times New Roman"/>
                <w:color w:val="000000"/>
                <w:kern w:val="0"/>
                <w:sz w:val="24"/>
                <w:szCs w:val="24"/>
                <w:lang w:eastAsia="zh-CN"/>
              </w:rPr>
              <w:t>个不同通道的数据和报告，实施监控仪器的状态</w:t>
            </w:r>
            <w:r>
              <w:rPr>
                <w:rFonts w:ascii="Times New Roman" w:hAnsi="Times New Roman" w:eastAsia="Times New Roman" w:cs="Times New Roman"/>
                <w:color w:val="000000"/>
                <w:kern w:val="0"/>
                <w:sz w:val="24"/>
                <w:szCs w:val="24"/>
                <w:lang w:eastAsia="zh-CN"/>
              </w:rPr>
              <w:t>;</w:t>
            </w:r>
          </w:p>
          <w:p w14:paraId="051BF34A">
            <w:pPr>
              <w:autoSpaceDE w:val="0"/>
              <w:autoSpaceDN w:val="0"/>
              <w:spacing w:line="360" w:lineRule="auto"/>
              <w:ind w:left="288"/>
              <w:rPr>
                <w:rFonts w:ascii="Times New Roman" w:hAnsi="Times New Roman" w:eastAsia="Times New Roman" w:cs="Times New Roman"/>
                <w:b/>
                <w:bCs/>
                <w:color w:val="000000"/>
                <w:kern w:val="0"/>
                <w:sz w:val="24"/>
                <w:szCs w:val="24"/>
                <w:lang w:eastAsia="zh-CN"/>
              </w:rPr>
            </w:pPr>
            <w:r>
              <w:rPr>
                <w:rFonts w:ascii="Times New Roman" w:hAnsi="Times New Roman" w:eastAsia="Times New Roman" w:cs="Times New Roman"/>
                <w:b/>
                <w:bCs/>
                <w:color w:val="000000"/>
                <w:kern w:val="0"/>
                <w:sz w:val="24"/>
                <w:szCs w:val="24"/>
                <w:lang w:eastAsia="zh-CN"/>
              </w:rPr>
              <w:t xml:space="preserve">5. </w:t>
            </w:r>
            <w:r>
              <w:rPr>
                <w:rFonts w:ascii="Times New Roman" w:hAnsi="Times New Roman" w:eastAsia="宋体" w:cs="Times New Roman"/>
                <w:b/>
                <w:bCs/>
                <w:color w:val="000000"/>
                <w:kern w:val="0"/>
                <w:sz w:val="24"/>
                <w:szCs w:val="24"/>
                <w:lang w:eastAsia="zh-CN"/>
              </w:rPr>
              <w:t>仪器软件技术要求</w:t>
            </w:r>
          </w:p>
          <w:p w14:paraId="1C5115DB">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5.1. </w:t>
            </w:r>
            <w:r>
              <w:rPr>
                <w:rFonts w:ascii="Times New Roman" w:hAnsi="Times New Roman" w:eastAsia="宋体" w:cs="Times New Roman"/>
                <w:color w:val="000000"/>
                <w:kern w:val="0"/>
                <w:sz w:val="24"/>
                <w:szCs w:val="24"/>
                <w:lang w:eastAsia="zh-CN"/>
              </w:rPr>
              <w:t>采用工作站软件，使用图形化的用户界面，方便仪器控制参数，数据采集及计算处理参数的设定；</w:t>
            </w:r>
          </w:p>
          <w:p w14:paraId="6DC04055">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5.2.</w:t>
            </w:r>
            <w:r>
              <w:rPr>
                <w:rFonts w:ascii="Times New Roman" w:hAnsi="Times New Roman" w:eastAsia="宋体" w:cs="Times New Roman"/>
                <w:color w:val="000000"/>
                <w:kern w:val="0"/>
                <w:sz w:val="24"/>
                <w:szCs w:val="24"/>
                <w:lang w:eastAsia="zh-CN"/>
              </w:rPr>
              <w:t>早期维护预警：提供消耗元件累计使用情况，以便及时进行系统预防性维护；</w:t>
            </w:r>
          </w:p>
          <w:p w14:paraId="0370EB8D">
            <w:pPr>
              <w:autoSpaceDE w:val="0"/>
              <w:autoSpaceDN w:val="0"/>
              <w:spacing w:line="360" w:lineRule="auto"/>
              <w:ind w:left="288"/>
              <w:rPr>
                <w:rFonts w:ascii="Times New Roman" w:hAnsi="Times New Roman" w:eastAsia="Times New Roman"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 xml:space="preserve">5.3 </w:t>
            </w:r>
            <w:r>
              <w:rPr>
                <w:rFonts w:ascii="Times New Roman" w:hAnsi="Times New Roman" w:eastAsia="宋体" w:cs="Times New Roman"/>
                <w:color w:val="000000"/>
                <w:kern w:val="0"/>
                <w:sz w:val="24"/>
                <w:szCs w:val="24"/>
                <w:lang w:eastAsia="zh-CN"/>
              </w:rPr>
              <w:t>原装中、英文工作站软件可选，软件图像化，灵活简单，操作易学。</w:t>
            </w:r>
          </w:p>
          <w:p w14:paraId="1E093EA4">
            <w:pPr>
              <w:autoSpaceDE w:val="0"/>
              <w:autoSpaceDN w:val="0"/>
              <w:spacing w:line="360" w:lineRule="auto"/>
              <w:ind w:left="288"/>
              <w:rPr>
                <w:rFonts w:ascii="Times New Roman" w:hAnsi="Times New Roman" w:eastAsia="宋体" w:cs="Times New Roman"/>
                <w:color w:val="000000"/>
                <w:kern w:val="0"/>
                <w:sz w:val="24"/>
                <w:szCs w:val="24"/>
                <w:lang w:eastAsia="zh-CN"/>
              </w:rPr>
            </w:pPr>
            <w:r>
              <w:rPr>
                <w:rFonts w:ascii="Times New Roman" w:hAnsi="Times New Roman" w:eastAsia="Times New Roman" w:cs="Times New Roman"/>
                <w:color w:val="000000"/>
                <w:kern w:val="0"/>
                <w:sz w:val="24"/>
                <w:szCs w:val="24"/>
                <w:lang w:eastAsia="zh-CN"/>
              </w:rPr>
              <w:t>5.4. </w:t>
            </w:r>
            <w:r>
              <w:rPr>
                <w:rFonts w:ascii="Times New Roman" w:hAnsi="Times New Roman" w:eastAsia="宋体" w:cs="Times New Roman"/>
                <w:color w:val="000000"/>
                <w:kern w:val="0"/>
                <w:sz w:val="24"/>
                <w:szCs w:val="24"/>
                <w:lang w:eastAsia="zh-CN"/>
              </w:rPr>
              <w:t>独特的远程诊断功能、错误检查和显示功能</w:t>
            </w:r>
            <w:bookmarkStart w:id="0" w:name="RANGE!F59"/>
            <w:r>
              <w:rPr>
                <w:rFonts w:ascii="Times New Roman" w:hAnsi="Times New Roman" w:eastAsia="宋体" w:cs="Times New Roman"/>
                <w:color w:val="000000"/>
                <w:kern w:val="0"/>
                <w:sz w:val="24"/>
                <w:szCs w:val="24"/>
                <w:lang w:eastAsia="zh-CN"/>
              </w:rPr>
              <w:t>。</w:t>
            </w:r>
          </w:p>
          <w:p w14:paraId="63B4D8D1">
            <w:pPr>
              <w:autoSpaceDE w:val="0"/>
              <w:autoSpaceDN w:val="0"/>
              <w:spacing w:line="360" w:lineRule="auto"/>
              <w:ind w:left="288"/>
              <w:rPr>
                <w:rFonts w:ascii="Times New Roman" w:hAnsi="Times New Roman" w:eastAsia="宋体" w:cs="Times New Roman"/>
                <w:color w:val="000000"/>
                <w:kern w:val="0"/>
                <w:sz w:val="24"/>
                <w:szCs w:val="24"/>
                <w:lang w:eastAsia="zh-CN"/>
              </w:rPr>
            </w:pPr>
            <w:r>
              <w:rPr>
                <w:rFonts w:ascii="Times New Roman" w:hAnsi="Times New Roman" w:eastAsia="宋体" w:cs="Times New Roman"/>
                <w:color w:val="000000"/>
                <w:kern w:val="0"/>
                <w:sz w:val="24"/>
                <w:szCs w:val="24"/>
                <w:lang w:eastAsia="zh-CN"/>
              </w:rPr>
              <w:t>5.5 可实现自动</w:t>
            </w:r>
            <w:r>
              <w:rPr>
                <w:rFonts w:hint="eastAsia" w:ascii="Times New Roman" w:hAnsi="Times New Roman" w:eastAsia="宋体" w:cs="Times New Roman"/>
                <w:color w:val="000000"/>
                <w:kern w:val="0"/>
                <w:sz w:val="24"/>
                <w:szCs w:val="24"/>
                <w:lang w:eastAsia="zh-CN"/>
              </w:rPr>
              <w:t>化</w:t>
            </w:r>
            <w:r>
              <w:rPr>
                <w:rFonts w:ascii="Times New Roman" w:hAnsi="Times New Roman" w:eastAsia="宋体" w:cs="Times New Roman"/>
                <w:color w:val="000000"/>
                <w:kern w:val="0"/>
                <w:sz w:val="24"/>
                <w:szCs w:val="24"/>
                <w:lang w:eastAsia="zh-CN"/>
              </w:rPr>
              <w:t>气袋连续进样；</w:t>
            </w:r>
          </w:p>
          <w:p w14:paraId="2BEEAF75">
            <w:pPr>
              <w:autoSpaceDE w:val="0"/>
              <w:autoSpaceDN w:val="0"/>
              <w:spacing w:line="360" w:lineRule="auto"/>
              <w:ind w:left="288"/>
              <w:rPr>
                <w:rFonts w:hint="eastAsia" w:ascii="宋体" w:hAnsi="宋体" w:eastAsia="宋体" w:cs="Times New Roman"/>
                <w:color w:val="000000"/>
                <w:kern w:val="0"/>
                <w:lang w:eastAsia="zh-CN"/>
              </w:rPr>
            </w:pPr>
            <w:r>
              <w:rPr>
                <w:rFonts w:ascii="Times New Roman" w:hAnsi="Times New Roman" w:eastAsia="Times New Roman" w:cs="Times New Roman"/>
                <w:color w:val="000000"/>
                <w:kern w:val="0"/>
                <w:sz w:val="24"/>
                <w:szCs w:val="24"/>
                <w:lang w:eastAsia="zh-CN"/>
              </w:rPr>
              <w:t>5.5.</w:t>
            </w:r>
            <w:r>
              <w:rPr>
                <w:rFonts w:ascii="Times New Roman" w:hAnsi="Times New Roman" w:eastAsia="宋体" w:cs="Times New Roman"/>
                <w:color w:val="000000"/>
                <w:kern w:val="0"/>
                <w:sz w:val="24"/>
                <w:szCs w:val="24"/>
                <w:lang w:eastAsia="zh-CN"/>
              </w:rPr>
              <w:t>数据处理系统：配置不低于：</w:t>
            </w:r>
            <w:r>
              <w:rPr>
                <w:rFonts w:ascii="Times New Roman" w:hAnsi="Times New Roman" w:eastAsia="Times New Roman" w:cs="Times New Roman"/>
                <w:color w:val="000000"/>
                <w:kern w:val="0"/>
                <w:sz w:val="24"/>
                <w:szCs w:val="24"/>
                <w:lang w:eastAsia="zh-CN"/>
              </w:rPr>
              <w:t>21</w:t>
            </w:r>
            <w:r>
              <w:rPr>
                <w:rFonts w:ascii="Times New Roman" w:hAnsi="Times New Roman" w:eastAsia="宋体" w:cs="Times New Roman"/>
                <w:color w:val="000000"/>
                <w:kern w:val="0"/>
                <w:sz w:val="24"/>
                <w:szCs w:val="24"/>
                <w:lang w:eastAsia="zh-CN"/>
              </w:rPr>
              <w:t>寸显示器，分辨率建议</w:t>
            </w:r>
            <w:r>
              <w:rPr>
                <w:rFonts w:ascii="Times New Roman" w:hAnsi="Times New Roman" w:eastAsia="Times New Roman" w:cs="Times New Roman"/>
                <w:color w:val="000000"/>
                <w:kern w:val="0"/>
                <w:sz w:val="24"/>
                <w:szCs w:val="24"/>
                <w:lang w:eastAsia="zh-CN"/>
              </w:rPr>
              <w:t xml:space="preserve"> 1920 x 1080</w:t>
            </w:r>
            <w:r>
              <w:rPr>
                <w:rFonts w:ascii="Times New Roman" w:hAnsi="Times New Roman" w:eastAsia="宋体" w:cs="Times New Roman"/>
                <w:color w:val="000000"/>
                <w:kern w:val="0"/>
                <w:sz w:val="24"/>
                <w:szCs w:val="24"/>
                <w:lang w:eastAsia="zh-CN"/>
              </w:rPr>
              <w:t>，内存</w:t>
            </w:r>
            <w:r>
              <w:rPr>
                <w:rFonts w:ascii="Times New Roman" w:hAnsi="Times New Roman" w:eastAsia="Times New Roman" w:cs="Times New Roman"/>
                <w:color w:val="000000"/>
                <w:kern w:val="0"/>
                <w:sz w:val="24"/>
                <w:szCs w:val="24"/>
                <w:lang w:eastAsia="zh-CN"/>
              </w:rPr>
              <w:t>8G</w:t>
            </w:r>
            <w:r>
              <w:rPr>
                <w:rFonts w:ascii="Times New Roman" w:hAnsi="Times New Roman" w:eastAsia="宋体" w:cs="Times New Roman"/>
                <w:color w:val="000000"/>
                <w:kern w:val="0"/>
                <w:sz w:val="24"/>
                <w:szCs w:val="24"/>
                <w:lang w:eastAsia="zh-CN"/>
              </w:rPr>
              <w:t>及以上，</w:t>
            </w:r>
            <w:r>
              <w:rPr>
                <w:rFonts w:ascii="Times New Roman" w:hAnsi="Times New Roman" w:eastAsia="Times New Roman" w:cs="Times New Roman"/>
                <w:color w:val="000000"/>
                <w:kern w:val="0"/>
                <w:sz w:val="24"/>
                <w:szCs w:val="24"/>
                <w:lang w:eastAsia="zh-CN"/>
              </w:rPr>
              <w:t>win10/11</w:t>
            </w:r>
            <w:r>
              <w:rPr>
                <w:rFonts w:ascii="Times New Roman" w:hAnsi="Times New Roman" w:eastAsia="宋体" w:cs="Times New Roman"/>
                <w:color w:val="000000"/>
                <w:kern w:val="0"/>
                <w:sz w:val="24"/>
                <w:szCs w:val="24"/>
                <w:lang w:eastAsia="zh-CN"/>
              </w:rPr>
              <w:t>，企业版</w:t>
            </w:r>
            <w:r>
              <w:rPr>
                <w:rFonts w:ascii="Times New Roman" w:hAnsi="Times New Roman" w:eastAsia="Times New Roman" w:cs="Times New Roman"/>
                <w:color w:val="000000"/>
                <w:kern w:val="0"/>
                <w:sz w:val="24"/>
                <w:szCs w:val="24"/>
                <w:lang w:eastAsia="zh-CN"/>
              </w:rPr>
              <w:t>(21H2)</w:t>
            </w:r>
            <w:r>
              <w:rPr>
                <w:rFonts w:ascii="宋体" w:hAnsi="宋体" w:eastAsia="宋体" w:cs="Times New Roman"/>
                <w:color w:val="000000"/>
                <w:kern w:val="0"/>
                <w:sz w:val="24"/>
                <w:szCs w:val="24"/>
                <w:lang w:eastAsia="zh-CN"/>
              </w:rPr>
              <w:t>或专业版</w:t>
            </w:r>
            <w:r>
              <w:rPr>
                <w:rFonts w:ascii="Times New Roman" w:hAnsi="Times New Roman" w:eastAsia="Times New Roman" w:cs="Times New Roman"/>
                <w:color w:val="000000"/>
                <w:kern w:val="0"/>
                <w:sz w:val="24"/>
                <w:szCs w:val="24"/>
                <w:lang w:eastAsia="zh-CN"/>
              </w:rPr>
              <w:t xml:space="preserve">  (21H2</w:t>
            </w:r>
            <w:r>
              <w:rPr>
                <w:rFonts w:ascii="宋体" w:hAnsi="宋体" w:eastAsia="宋体" w:cs="Times New Roman"/>
                <w:color w:val="000000"/>
                <w:kern w:val="0"/>
                <w:sz w:val="24"/>
                <w:szCs w:val="24"/>
                <w:lang w:eastAsia="zh-CN"/>
              </w:rPr>
              <w:t>），</w:t>
            </w:r>
            <w:r>
              <w:rPr>
                <w:rFonts w:ascii="Times New Roman" w:hAnsi="Times New Roman" w:eastAsia="Times New Roman" w:cs="Times New Roman"/>
                <w:color w:val="000000"/>
                <w:kern w:val="0"/>
                <w:sz w:val="24"/>
                <w:szCs w:val="24"/>
                <w:lang w:eastAsia="zh-CN"/>
              </w:rPr>
              <w:t>64</w:t>
            </w:r>
            <w:r>
              <w:rPr>
                <w:rFonts w:ascii="宋体" w:hAnsi="宋体" w:eastAsia="宋体" w:cs="Times New Roman"/>
                <w:color w:val="000000"/>
                <w:kern w:val="0"/>
                <w:sz w:val="24"/>
                <w:szCs w:val="24"/>
                <w:lang w:eastAsia="zh-CN"/>
              </w:rPr>
              <w:t>位，</w:t>
            </w:r>
            <w:r>
              <w:rPr>
                <w:rFonts w:ascii="Times New Roman" w:hAnsi="Times New Roman" w:eastAsia="Times New Roman" w:cs="Times New Roman"/>
                <w:color w:val="000000"/>
                <w:kern w:val="0"/>
                <w:sz w:val="24"/>
                <w:szCs w:val="24"/>
                <w:lang w:eastAsia="zh-CN"/>
              </w:rPr>
              <w:t>10</w:t>
            </w:r>
            <w:r>
              <w:rPr>
                <w:rFonts w:ascii="宋体" w:hAnsi="宋体" w:eastAsia="宋体" w:cs="Times New Roman"/>
                <w:color w:val="000000"/>
                <w:kern w:val="0"/>
                <w:sz w:val="24"/>
                <w:szCs w:val="24"/>
                <w:lang w:eastAsia="zh-CN"/>
              </w:rPr>
              <w:t>代以上</w:t>
            </w:r>
            <w:r>
              <w:rPr>
                <w:rFonts w:ascii="Times New Roman" w:hAnsi="Times New Roman" w:eastAsia="Times New Roman" w:cs="Times New Roman"/>
                <w:color w:val="000000"/>
                <w:kern w:val="0"/>
                <w:sz w:val="24"/>
                <w:szCs w:val="24"/>
                <w:lang w:eastAsia="zh-CN"/>
              </w:rPr>
              <w:t xml:space="preserve">i5 </w:t>
            </w:r>
            <w:r>
              <w:rPr>
                <w:rFonts w:ascii="宋体" w:hAnsi="宋体" w:eastAsia="宋体" w:cs="Times New Roman"/>
                <w:color w:val="000000"/>
                <w:kern w:val="0"/>
                <w:sz w:val="24"/>
                <w:szCs w:val="24"/>
                <w:lang w:eastAsia="zh-CN"/>
              </w:rPr>
              <w:t>四核及以上，固态硬盘</w:t>
            </w:r>
            <w:r>
              <w:rPr>
                <w:rFonts w:ascii="Times New Roman" w:hAnsi="Times New Roman" w:eastAsia="Times New Roman" w:cs="Times New Roman"/>
                <w:color w:val="000000"/>
                <w:kern w:val="0"/>
                <w:sz w:val="24"/>
                <w:szCs w:val="24"/>
                <w:lang w:eastAsia="zh-CN"/>
              </w:rPr>
              <w:t>500G+</w:t>
            </w:r>
            <w:r>
              <w:rPr>
                <w:rFonts w:ascii="宋体" w:hAnsi="宋体" w:eastAsia="宋体" w:cs="Times New Roman"/>
                <w:color w:val="000000"/>
                <w:kern w:val="0"/>
                <w:sz w:val="24"/>
                <w:szCs w:val="24"/>
                <w:lang w:eastAsia="zh-CN"/>
              </w:rPr>
              <w:t>机械硬盘</w:t>
            </w:r>
            <w:r>
              <w:rPr>
                <w:rFonts w:ascii="Times New Roman" w:hAnsi="Times New Roman" w:eastAsia="Times New Roman" w:cs="Times New Roman"/>
                <w:color w:val="000000"/>
                <w:kern w:val="0"/>
                <w:sz w:val="24"/>
                <w:szCs w:val="24"/>
                <w:lang w:eastAsia="zh-CN"/>
              </w:rPr>
              <w:t>1TB</w:t>
            </w:r>
            <w:r>
              <w:rPr>
                <w:rFonts w:ascii="宋体" w:hAnsi="宋体" w:eastAsia="宋体" w:cs="Times New Roman"/>
                <w:color w:val="000000"/>
                <w:kern w:val="0"/>
                <w:sz w:val="24"/>
                <w:szCs w:val="24"/>
                <w:lang w:eastAsia="zh-CN"/>
              </w:rPr>
              <w:t>；</w:t>
            </w:r>
            <w:bookmarkEnd w:id="0"/>
          </w:p>
        </w:tc>
      </w:tr>
      <w:tr w14:paraId="695CB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jc w:val="center"/>
        </w:trPr>
        <w:tc>
          <w:tcPr>
            <w:tcW w:w="1118" w:type="dxa"/>
            <w:vAlign w:val="center"/>
          </w:tcPr>
          <w:p w14:paraId="393F5CB5">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4ED46E22">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功能</w:t>
            </w:r>
          </w:p>
        </w:tc>
        <w:tc>
          <w:tcPr>
            <w:tcW w:w="8512" w:type="dxa"/>
            <w:gridSpan w:val="2"/>
            <w:tcBorders>
              <w:right w:val="single" w:color="000000" w:sz="6" w:space="0"/>
            </w:tcBorders>
            <w:vAlign w:val="center"/>
          </w:tcPr>
          <w:p w14:paraId="4691FB26">
            <w:pPr>
              <w:pStyle w:val="28"/>
              <w:autoSpaceDE w:val="0"/>
              <w:autoSpaceDN w:val="0"/>
              <w:spacing w:line="360" w:lineRule="auto"/>
              <w:rPr>
                <w:rFonts w:hint="eastAsia" w:cs="宋体" w:asciiTheme="minorEastAsia" w:hAnsiTheme="minorEastAsia"/>
                <w:color w:val="000000" w:themeColor="text1"/>
                <w:kern w:val="0"/>
                <w:sz w:val="24"/>
                <w:szCs w:val="24"/>
                <w:lang w:val="zh-CN" w:eastAsia="zh-CN" w:bidi="zh-CN"/>
                <w14:textFill>
                  <w14:solidFill>
                    <w14:schemeClr w14:val="tx1"/>
                  </w14:solidFill>
                </w14:textFill>
              </w:rPr>
            </w:pPr>
            <w:r>
              <w:rPr>
                <w:rFonts w:hint="eastAsia" w:ascii="宋体" w:hAnsi="宋体" w:eastAsia="宋体"/>
                <w:color w:val="000000"/>
                <w:sz w:val="24"/>
                <w:szCs w:val="24"/>
                <w:lang w:eastAsia="zh-CN"/>
              </w:rPr>
              <w:t>用于对气体样品中的甲烷（CH</w:t>
            </w:r>
            <w:r>
              <w:rPr>
                <w:rFonts w:ascii="Cambria Math" w:hAnsi="Cambria Math" w:eastAsia="宋体" w:cs="Cambria Math"/>
                <w:color w:val="000000"/>
                <w:sz w:val="24"/>
                <w:szCs w:val="24"/>
                <w:lang w:eastAsia="zh-CN"/>
              </w:rPr>
              <w:t>₄</w:t>
            </w:r>
            <w:r>
              <w:rPr>
                <w:rFonts w:hint="eastAsia" w:ascii="宋体" w:hAnsi="宋体" w:eastAsia="宋体" w:cs="宋体"/>
                <w:color w:val="000000"/>
                <w:sz w:val="24"/>
                <w:szCs w:val="24"/>
                <w:lang w:eastAsia="zh-CN"/>
              </w:rPr>
              <w:t>）、二氧化碳（</w:t>
            </w:r>
            <w:r>
              <w:rPr>
                <w:rFonts w:hint="eastAsia" w:ascii="宋体" w:hAnsi="宋体" w:eastAsia="宋体"/>
                <w:color w:val="000000"/>
                <w:sz w:val="24"/>
                <w:szCs w:val="24"/>
                <w:lang w:eastAsia="zh-CN"/>
              </w:rPr>
              <w:t>CO</w:t>
            </w:r>
            <w:r>
              <w:rPr>
                <w:rFonts w:ascii="Cambria Math" w:hAnsi="Cambria Math" w:eastAsia="宋体" w:cs="Cambria Math"/>
                <w:color w:val="000000"/>
                <w:sz w:val="24"/>
                <w:szCs w:val="24"/>
                <w:lang w:eastAsia="zh-CN"/>
              </w:rPr>
              <w:t>₂</w:t>
            </w:r>
            <w:r>
              <w:rPr>
                <w:rFonts w:hint="eastAsia" w:ascii="宋体" w:hAnsi="宋体" w:eastAsia="宋体" w:cs="宋体"/>
                <w:color w:val="000000"/>
                <w:sz w:val="24"/>
                <w:szCs w:val="24"/>
                <w:lang w:eastAsia="zh-CN"/>
              </w:rPr>
              <w:t>）和氧化亚氮（</w:t>
            </w:r>
            <w:r>
              <w:rPr>
                <w:rFonts w:hint="eastAsia" w:ascii="宋体" w:hAnsi="宋体" w:eastAsia="宋体"/>
                <w:color w:val="000000"/>
                <w:sz w:val="24"/>
                <w:szCs w:val="24"/>
                <w:lang w:eastAsia="zh-CN"/>
              </w:rPr>
              <w:t>N</w:t>
            </w:r>
            <w:r>
              <w:rPr>
                <w:rFonts w:ascii="Cambria Math" w:hAnsi="Cambria Math" w:eastAsia="宋体" w:cs="Cambria Math"/>
                <w:color w:val="000000"/>
                <w:sz w:val="24"/>
                <w:szCs w:val="24"/>
                <w:lang w:eastAsia="zh-CN"/>
              </w:rPr>
              <w:t>₂</w:t>
            </w:r>
            <w:r>
              <w:rPr>
                <w:rFonts w:hint="eastAsia" w:ascii="宋体" w:hAnsi="宋体" w:eastAsia="宋体"/>
                <w:color w:val="000000"/>
                <w:sz w:val="24"/>
                <w:szCs w:val="24"/>
                <w:lang w:eastAsia="zh-CN"/>
              </w:rPr>
              <w:t>O）主要温室气体进行分离、定性与定量分析；配置气体进样阀、专用分析柱、镍转化炉、氢火焰离子化检测器和电子捕获检测器，可实现多组分自动切换、同步检测及痕量分析，并具备数据采集、校准、计算、统计和报告输出功能。</w:t>
            </w:r>
          </w:p>
        </w:tc>
      </w:tr>
    </w:tbl>
    <w:p w14:paraId="08B13A84">
      <w:pPr>
        <w:pStyle w:val="26"/>
        <w:tabs>
          <w:tab w:val="left" w:pos="1775"/>
        </w:tabs>
        <w:autoSpaceDE w:val="0"/>
        <w:autoSpaceDN w:val="0"/>
        <w:spacing w:line="520" w:lineRule="exact"/>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bookmarkStart w:id="1" w:name="_Hlk66111534"/>
    </w:p>
    <w:p w14:paraId="789DBBFD">
      <w:pPr>
        <w:pStyle w:val="26"/>
        <w:tabs>
          <w:tab w:val="left" w:pos="1775"/>
        </w:tabs>
        <w:autoSpaceDE w:val="0"/>
        <w:autoSpaceDN w:val="0"/>
        <w:spacing w:line="520" w:lineRule="exact"/>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14:paraId="09B95C21">
      <w:pPr>
        <w:pStyle w:val="26"/>
        <w:tabs>
          <w:tab w:val="left" w:pos="1775"/>
        </w:tabs>
        <w:autoSpaceDE w:val="0"/>
        <w:autoSpaceDN w:val="0"/>
        <w:spacing w:line="520" w:lineRule="exact"/>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14:paraId="73E83948">
      <w:pPr>
        <w:pStyle w:val="26"/>
        <w:tabs>
          <w:tab w:val="left" w:pos="1775"/>
        </w:tabs>
        <w:autoSpaceDE w:val="0"/>
        <w:autoSpaceDN w:val="0"/>
        <w:spacing w:line="520" w:lineRule="exact"/>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14:paraId="2473F7B3">
      <w:pPr>
        <w:pStyle w:val="26"/>
        <w:tabs>
          <w:tab w:val="left" w:pos="1775"/>
        </w:tabs>
        <w:autoSpaceDE w:val="0"/>
        <w:autoSpaceDN w:val="0"/>
        <w:spacing w:line="520" w:lineRule="exact"/>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p>
    <w:p w14:paraId="0BE42614">
      <w:pPr>
        <w:pStyle w:val="26"/>
        <w:tabs>
          <w:tab w:val="left" w:pos="1775"/>
        </w:tabs>
        <w:autoSpaceDE w:val="0"/>
        <w:autoSpaceDN w:val="0"/>
        <w:spacing w:line="520" w:lineRule="exact"/>
        <w:ind w:left="0" w:leftChars="0" w:firstLine="0" w:firstLineChars="0"/>
        <w:rPr>
          <w:rFonts w:hint="eastAsia" w:ascii="仿宋_GB2312" w:hAnsi="仿宋" w:eastAsia="仿宋_GB2312"/>
          <w:color w:val="000000" w:themeColor="text1"/>
          <w:sz w:val="32"/>
          <w:szCs w:val="32"/>
          <w:lang w:val="en-US" w:eastAsia="zh-CN"/>
          <w14:textFill>
            <w14:solidFill>
              <w14:schemeClr w14:val="tx1"/>
            </w14:solidFill>
          </w14:textFill>
        </w:rPr>
      </w:pPr>
      <w:bookmarkStart w:id="2" w:name="_GoBack"/>
      <w:bookmarkEnd w:id="2"/>
      <w:r>
        <w:rPr>
          <w:rFonts w:hint="eastAsia" w:ascii="仿宋_GB2312" w:hAnsi="仿宋" w:eastAsia="仿宋_GB2312"/>
          <w:color w:val="000000" w:themeColor="text1"/>
          <w:sz w:val="32"/>
          <w:szCs w:val="32"/>
          <w:lang w:val="en-US" w:eastAsia="zh-CN"/>
          <w14:textFill>
            <w14:solidFill>
              <w14:schemeClr w14:val="tx1"/>
            </w14:solidFill>
          </w14:textFill>
        </w:rPr>
        <w:t>附件：</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单四级杆质谱仪</w:t>
      </w:r>
    </w:p>
    <w:tbl>
      <w:tblPr>
        <w:tblStyle w:val="21"/>
        <w:tblW w:w="96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1111"/>
        <w:gridCol w:w="7401"/>
      </w:tblGrid>
      <w:tr w14:paraId="04DFC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229" w:type="dxa"/>
            <w:gridSpan w:val="2"/>
            <w:vAlign w:val="center"/>
          </w:tcPr>
          <w:p w14:paraId="011B7D92">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仪器设备中文名称</w:t>
            </w:r>
          </w:p>
        </w:tc>
        <w:tc>
          <w:tcPr>
            <w:tcW w:w="7401" w:type="dxa"/>
            <w:tcBorders>
              <w:right w:val="single" w:color="000000" w:sz="6" w:space="0"/>
            </w:tcBorders>
            <w:vAlign w:val="center"/>
          </w:tcPr>
          <w:p w14:paraId="16ACF92C">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单四级杆质谱仪</w:t>
            </w:r>
          </w:p>
        </w:tc>
      </w:tr>
      <w:tr w14:paraId="2ED71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185A1B5C">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仪器设备外文名称</w:t>
            </w:r>
          </w:p>
        </w:tc>
        <w:tc>
          <w:tcPr>
            <w:tcW w:w="7401" w:type="dxa"/>
            <w:tcBorders>
              <w:right w:val="single" w:color="000000" w:sz="6" w:space="0"/>
            </w:tcBorders>
            <w:vAlign w:val="center"/>
          </w:tcPr>
          <w:p w14:paraId="53D85F91">
            <w:pPr>
              <w:autoSpaceDE w:val="0"/>
              <w:autoSpaceDN w:val="0"/>
              <w:spacing w:line="520" w:lineRule="exact"/>
              <w:jc w:val="center"/>
              <w:rPr>
                <w:rFonts w:hint="eastAsia" w:cs="宋体" w:asciiTheme="minorEastAsia" w:hAnsiTheme="minorEastAsia"/>
                <w:color w:val="FF0000"/>
                <w:kern w:val="0"/>
                <w:sz w:val="24"/>
                <w:szCs w:val="24"/>
                <w:lang w:val="zh-CN" w:eastAsia="en-US" w:bidi="zh-CN"/>
              </w:rPr>
            </w:pP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Single </w:t>
            </w:r>
            <w:r>
              <w:rPr>
                <w:rFonts w:hint="eastAsia" w:cs="宋体" w:asciiTheme="minorEastAsia" w:hAnsiTheme="minorEastAsia"/>
                <w:b/>
                <w:color w:val="000000" w:themeColor="text1"/>
                <w:kern w:val="0"/>
                <w:sz w:val="24"/>
                <w:szCs w:val="24"/>
                <w:lang w:eastAsia="en-US" w:bidi="zh-CN"/>
                <w14:textFill>
                  <w14:solidFill>
                    <w14:schemeClr w14:val="tx1"/>
                  </w14:solidFill>
                </w14:textFill>
              </w:rPr>
              <w:t>Q</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uadrupole </w:t>
            </w:r>
            <w:r>
              <w:rPr>
                <w:rFonts w:cs="宋体" w:asciiTheme="minorEastAsia" w:hAnsiTheme="minorEastAsia"/>
                <w:b/>
                <w:color w:val="000000" w:themeColor="text1"/>
                <w:kern w:val="0"/>
                <w:sz w:val="24"/>
                <w:szCs w:val="24"/>
                <w:lang w:eastAsia="en-US" w:bidi="zh-CN"/>
                <w14:textFill>
                  <w14:solidFill>
                    <w14:schemeClr w14:val="tx1"/>
                  </w14:solidFill>
                </w14:textFill>
              </w:rPr>
              <w:t>M</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 xml:space="preserve">ass </w:t>
            </w:r>
            <w:r>
              <w:rPr>
                <w:rFonts w:hint="eastAsia" w:cs="宋体" w:asciiTheme="minorEastAsia" w:hAnsiTheme="minorEastAsia"/>
                <w:b/>
                <w:color w:val="000000" w:themeColor="text1"/>
                <w:kern w:val="0"/>
                <w:sz w:val="24"/>
                <w:szCs w:val="24"/>
                <w:lang w:eastAsia="en-US" w:bidi="zh-CN"/>
                <w14:textFill>
                  <w14:solidFill>
                    <w14:schemeClr w14:val="tx1"/>
                  </w14:solidFill>
                </w14:textFill>
              </w:rPr>
              <w:t>S</w:t>
            </w:r>
            <w: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t>pectrometer</w:t>
            </w:r>
          </w:p>
        </w:tc>
      </w:tr>
      <w:tr w14:paraId="6E865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14A05187">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设备价格人民币</w:t>
            </w:r>
          </w:p>
        </w:tc>
        <w:tc>
          <w:tcPr>
            <w:tcW w:w="7401" w:type="dxa"/>
            <w:tcBorders>
              <w:right w:val="single" w:color="000000" w:sz="6" w:space="0"/>
            </w:tcBorders>
            <w:vAlign w:val="center"/>
          </w:tcPr>
          <w:p w14:paraId="18A1A55E">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39万元</w:t>
            </w:r>
          </w:p>
        </w:tc>
      </w:tr>
      <w:tr w14:paraId="4DE88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3CA7BC9A">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申购学院</w:t>
            </w:r>
          </w:p>
        </w:tc>
        <w:tc>
          <w:tcPr>
            <w:tcW w:w="7401" w:type="dxa"/>
            <w:tcBorders>
              <w:right w:val="single" w:color="000000" w:sz="6" w:space="0"/>
            </w:tcBorders>
            <w:vAlign w:val="center"/>
          </w:tcPr>
          <w:p w14:paraId="5649327F">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资源环境学院</w:t>
            </w:r>
          </w:p>
        </w:tc>
      </w:tr>
      <w:tr w14:paraId="2AF41B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229" w:type="dxa"/>
            <w:gridSpan w:val="2"/>
            <w:vAlign w:val="center"/>
          </w:tcPr>
          <w:p w14:paraId="0A5656FB">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申购结果</w:t>
            </w:r>
          </w:p>
        </w:tc>
        <w:tc>
          <w:tcPr>
            <w:tcW w:w="7401" w:type="dxa"/>
            <w:tcBorders>
              <w:right w:val="single" w:color="000000" w:sz="6" w:space="0"/>
            </w:tcBorders>
            <w:vAlign w:val="center"/>
          </w:tcPr>
          <w:p w14:paraId="103F1CED">
            <w:pPr>
              <w:autoSpaceDE w:val="0"/>
              <w:autoSpaceDN w:val="0"/>
              <w:spacing w:line="520" w:lineRule="exact"/>
              <w:jc w:val="center"/>
              <w:rPr>
                <w:rFonts w:hint="default" w:cs="宋体" w:asciiTheme="minorEastAsia" w:hAnsiTheme="minorEastAsia"/>
                <w:b/>
                <w:color w:val="000000" w:themeColor="text1"/>
                <w:kern w:val="0"/>
                <w:sz w:val="24"/>
                <w:szCs w:val="24"/>
                <w:lang w:val="en-US" w:eastAsia="en-US" w:bidi="zh-CN"/>
                <w14:textFill>
                  <w14:solidFill>
                    <w14:schemeClr w14:val="tx1"/>
                  </w14:solidFill>
                </w14:textFill>
              </w:rPr>
            </w:pPr>
            <w:r>
              <w:rPr>
                <w:rFonts w:hint="eastAsia" w:cs="宋体" w:asciiTheme="minorEastAsia" w:hAnsiTheme="minorEastAsia"/>
                <w:b/>
                <w:color w:val="000000" w:themeColor="text1"/>
                <w:kern w:val="0"/>
                <w:sz w:val="24"/>
                <w:szCs w:val="24"/>
                <w:lang w:val="en-US" w:eastAsia="en-US" w:bidi="zh-CN"/>
                <w14:textFill>
                  <w14:solidFill>
                    <w14:schemeClr w14:val="tx1"/>
                  </w14:solidFill>
                </w14:textFill>
              </w:rPr>
              <w:t>拟同意</w:t>
            </w:r>
          </w:p>
        </w:tc>
      </w:tr>
      <w:tr w14:paraId="029B0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1" w:hRule="atLeast"/>
          <w:jc w:val="center"/>
        </w:trPr>
        <w:tc>
          <w:tcPr>
            <w:tcW w:w="1118" w:type="dxa"/>
            <w:vAlign w:val="center"/>
          </w:tcPr>
          <w:p w14:paraId="1C2B77DC">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4AA1FB3A">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技术</w:t>
            </w:r>
          </w:p>
          <w:p w14:paraId="432FC4C6">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指标</w:t>
            </w:r>
          </w:p>
        </w:tc>
        <w:tc>
          <w:tcPr>
            <w:tcW w:w="8512" w:type="dxa"/>
            <w:gridSpan w:val="2"/>
            <w:tcBorders>
              <w:right w:val="single" w:color="000000" w:sz="6" w:space="0"/>
            </w:tcBorders>
            <w:vAlign w:val="center"/>
          </w:tcPr>
          <w:p w14:paraId="1A9CBE91">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1.离子源</w:t>
            </w:r>
          </w:p>
          <w:p w14:paraId="0A4783F7">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1.1无线式组装离子源，一体化设计，推斥极、离子盒、源透镜和RF透镜必须整合在单一的套筒内，以方便日常维护快速拆卸离子源。（提供离子源照片证明）</w:t>
            </w:r>
          </w:p>
          <w:p w14:paraId="749E528D">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1.2 无镀层的惰性材料，离子源独立加热控制，温度最高可到350℃，减少维护，增加运行时间。</w:t>
            </w:r>
          </w:p>
          <w:p w14:paraId="78D1D16C">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1.3 必须具备除源加热器之外的独立透镜加热器，独立的透镜加热器必须能给透镜和弯曲的离子光学通道额外提供加热，以减少复杂基质对透镜的污染，延长维护周期。</w:t>
            </w:r>
          </w:p>
          <w:p w14:paraId="245C1326">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1.4 必须具有独立的RF透镜，能够有效消除四极杆边缘场效应，同时具有防止四极杆污染的功能。</w:t>
            </w:r>
          </w:p>
          <w:p w14:paraId="7B575678">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1.5 精确调节的灯丝发射电流最大可到350 µA。</w:t>
            </w:r>
          </w:p>
          <w:p w14:paraId="609D263D">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1.6可升级质谱在开机且保持真空状态下，无需关机卸真空，2分钟内可将离子源取出，非采用带有自清洁功能功能离子源以方便后期维护。</w:t>
            </w:r>
          </w:p>
          <w:p w14:paraId="07D0DAB0">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1.7 可升级质谱在开机且保持真空状态下，进样口与质谱传输线接口采用色谱柱直联方式，无须增加任何接口或附件（如两通或三通接头、阻尼空柱等）即可实现无需停机卸真空，直接更换色谱柱功能。</w:t>
            </w:r>
          </w:p>
          <w:p w14:paraId="72625452">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2.“S”型弯曲的离子光学通道</w:t>
            </w:r>
          </w:p>
          <w:p w14:paraId="4149CB72">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2.1 在离子源和四极杆之间必须配备可加热S型离轴的离子光学通道，有效去除中性噪音及增强系统耐用性。（提供官方彩页证明材料）</w:t>
            </w:r>
          </w:p>
          <w:p w14:paraId="470E9F6B">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2.2 S型离子光学通道必须采用离轴式光学设计以提升低浓度检测定量，同时能够保护主四极杆不受污染。</w:t>
            </w:r>
          </w:p>
          <w:p w14:paraId="17069EE5">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2.3 S型离子光学通道与离子源通过RF透镜直接接触，在仪器实际使用中，RF透镜与S型离子光学通道过四个保护鞘接触，同时加载电压，避免S型离子光学通道受到污染。</w:t>
            </w:r>
          </w:p>
          <w:p w14:paraId="740A748E">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3</w:t>
            </w:r>
            <w:r>
              <w:rPr>
                <w:rFonts w:hint="eastAsia" w:cs="宋体" w:asciiTheme="minorEastAsia" w:hAnsiTheme="minorEastAsia"/>
                <w:color w:val="000000" w:themeColor="text1"/>
                <w:kern w:val="0"/>
                <w:sz w:val="24"/>
                <w:szCs w:val="24"/>
                <w:lang w:eastAsia="en-US" w:bidi="zh-CN"/>
                <w14:textFill>
                  <w14:solidFill>
                    <w14:schemeClr w14:val="tx1"/>
                  </w14:solidFill>
                </w14:textFill>
              </w:rPr>
              <w:t>.</w:t>
            </w:r>
            <w:r>
              <w:rPr>
                <w:rFonts w:cs="宋体" w:asciiTheme="minorEastAsia" w:hAnsiTheme="minorEastAsia"/>
                <w:color w:val="000000" w:themeColor="text1"/>
                <w:kern w:val="0"/>
                <w:sz w:val="24"/>
                <w:szCs w:val="24"/>
                <w:lang w:eastAsia="en-US" w:bidi="zh-CN"/>
                <w14:textFill>
                  <w14:solidFill>
                    <w14:schemeClr w14:val="tx1"/>
                  </w14:solidFill>
                </w14:textFill>
              </w:rPr>
              <w:t>四极杆质量分析器</w:t>
            </w:r>
          </w:p>
          <w:p w14:paraId="502662B9">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3.1 配备高精度全金属钼四极杆非石英镀金材质，可清洗打磨，不采用加热和控温即可实现≤0.1u/48h质量稳定性。（提供官方彩页证明）</w:t>
            </w:r>
          </w:p>
          <w:p w14:paraId="6BA625DA">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3.2 质量数范围：最高可达1100 u。</w:t>
            </w:r>
          </w:p>
          <w:p w14:paraId="60070372">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3.3 分辨率：全质量范围内单位质量分辨。</w:t>
            </w:r>
          </w:p>
          <w:p w14:paraId="081C11F2">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4</w:t>
            </w:r>
            <w:r>
              <w:rPr>
                <w:rFonts w:hint="eastAsia" w:cs="宋体" w:asciiTheme="minorEastAsia" w:hAnsiTheme="minorEastAsia"/>
                <w:color w:val="000000" w:themeColor="text1"/>
                <w:kern w:val="0"/>
                <w:sz w:val="24"/>
                <w:szCs w:val="24"/>
                <w:lang w:eastAsia="zh-CN" w:bidi="zh-CN"/>
                <w14:textFill>
                  <w14:solidFill>
                    <w14:schemeClr w14:val="tx1"/>
                  </w14:solidFill>
                </w14:textFill>
              </w:rPr>
              <w:t>.</w:t>
            </w:r>
            <w:r>
              <w:rPr>
                <w:rFonts w:cs="宋体" w:asciiTheme="minorEastAsia" w:hAnsiTheme="minorEastAsia"/>
                <w:color w:val="000000" w:themeColor="text1"/>
                <w:kern w:val="0"/>
                <w:sz w:val="24"/>
                <w:szCs w:val="24"/>
                <w:lang w:eastAsia="zh-CN" w:bidi="zh-CN"/>
                <w14:textFill>
                  <w14:solidFill>
                    <w14:schemeClr w14:val="tx1"/>
                  </w14:solidFill>
                </w14:textFill>
              </w:rPr>
              <w:t>扫描速度：20000 u/s。</w:t>
            </w:r>
          </w:p>
          <w:p w14:paraId="37E9291C">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5</w:t>
            </w:r>
            <w:r>
              <w:rPr>
                <w:rFonts w:hint="eastAsia" w:cs="宋体" w:asciiTheme="minorEastAsia" w:hAnsiTheme="minorEastAsia"/>
                <w:color w:val="000000" w:themeColor="text1"/>
                <w:kern w:val="0"/>
                <w:sz w:val="24"/>
                <w:szCs w:val="24"/>
                <w:lang w:eastAsia="zh-CN" w:bidi="zh-CN"/>
                <w14:textFill>
                  <w14:solidFill>
                    <w14:schemeClr w14:val="tx1"/>
                  </w14:solidFill>
                </w14:textFill>
              </w:rPr>
              <w:t>.</w:t>
            </w:r>
            <w:r>
              <w:rPr>
                <w:rFonts w:cs="宋体" w:asciiTheme="minorEastAsia" w:hAnsiTheme="minorEastAsia"/>
                <w:color w:val="000000" w:themeColor="text1"/>
                <w:kern w:val="0"/>
                <w:sz w:val="24"/>
                <w:szCs w:val="24"/>
                <w:lang w:eastAsia="zh-CN" w:bidi="zh-CN"/>
                <w14:textFill>
                  <w14:solidFill>
                    <w14:schemeClr w14:val="tx1"/>
                  </w14:solidFill>
                </w14:textFill>
              </w:rPr>
              <w:t>采集速率</w:t>
            </w:r>
          </w:p>
          <w:p w14:paraId="06DAF9DB">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5.1 SIM模式，采集速率≥240 scans/sec</w:t>
            </w:r>
          </w:p>
          <w:p w14:paraId="19B00281">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5.2 全扫描模式（扫描范围≥125u），采集速率≥97 scans/sec。</w:t>
            </w:r>
          </w:p>
          <w:p w14:paraId="105CCE55">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6</w:t>
            </w:r>
            <w:r>
              <w:rPr>
                <w:rFonts w:hint="eastAsia" w:cs="宋体" w:asciiTheme="minorEastAsia" w:hAnsiTheme="minorEastAsia"/>
                <w:color w:val="000000" w:themeColor="text1"/>
                <w:kern w:val="0"/>
                <w:sz w:val="24"/>
                <w:szCs w:val="24"/>
                <w:lang w:eastAsia="en-US" w:bidi="zh-CN"/>
                <w14:textFill>
                  <w14:solidFill>
                    <w14:schemeClr w14:val="tx1"/>
                  </w14:solidFill>
                </w14:textFill>
              </w:rPr>
              <w:t>.</w:t>
            </w:r>
            <w:r>
              <w:rPr>
                <w:rFonts w:cs="宋体" w:asciiTheme="minorEastAsia" w:hAnsiTheme="minorEastAsia"/>
                <w:color w:val="000000" w:themeColor="text1"/>
                <w:kern w:val="0"/>
                <w:sz w:val="24"/>
                <w:szCs w:val="24"/>
                <w:lang w:eastAsia="en-US" w:bidi="zh-CN"/>
                <w14:textFill>
                  <w14:solidFill>
                    <w14:schemeClr w14:val="tx1"/>
                  </w14:solidFill>
                </w14:textFill>
              </w:rPr>
              <w:t>灯丝：</w:t>
            </w:r>
          </w:p>
          <w:p w14:paraId="53644096">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6.1 电离能量范围：最高可设置150ev</w:t>
            </w:r>
          </w:p>
          <w:p w14:paraId="480E8CB0">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6.2一体化的、同方向双灯丝设计，有效调节发射电流，具有透镜保护，不受样品电离时的污染，提高灯丝使用寿命。</w:t>
            </w:r>
          </w:p>
          <w:p w14:paraId="71381FBD">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7</w:t>
            </w:r>
            <w:r>
              <w:rPr>
                <w:rFonts w:hint="eastAsia" w:cs="宋体" w:asciiTheme="minorEastAsia" w:hAnsiTheme="minorEastAsia"/>
                <w:color w:val="000000" w:themeColor="text1"/>
                <w:kern w:val="0"/>
                <w:sz w:val="24"/>
                <w:szCs w:val="24"/>
                <w:lang w:eastAsia="en-US" w:bidi="zh-CN"/>
                <w14:textFill>
                  <w14:solidFill>
                    <w14:schemeClr w14:val="tx1"/>
                  </w14:solidFill>
                </w14:textFill>
              </w:rPr>
              <w:t>.</w:t>
            </w:r>
            <w:r>
              <w:rPr>
                <w:rFonts w:cs="宋体" w:asciiTheme="minorEastAsia" w:hAnsiTheme="minorEastAsia"/>
                <w:color w:val="000000" w:themeColor="text1"/>
                <w:kern w:val="0"/>
                <w:sz w:val="24"/>
                <w:szCs w:val="24"/>
                <w:lang w:eastAsia="en-US" w:bidi="zh-CN"/>
                <w14:textFill>
                  <w14:solidFill>
                    <w14:schemeClr w14:val="tx1"/>
                  </w14:solidFill>
                </w14:textFill>
              </w:rPr>
              <w:t>检测器系统：</w:t>
            </w:r>
          </w:p>
          <w:p w14:paraId="112693C5">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 xml:space="preserve">7.1  检测系统，配置离轴 10 kV 打拿极、离散打拿极电子倍增器和静电计，线性动态范围 &gt;107（0-110 </w:t>
            </w:r>
            <w:r>
              <w:rPr>
                <w:rFonts w:cs="宋体" w:asciiTheme="minorEastAsia" w:hAnsiTheme="minorEastAsia"/>
                <w:color w:val="000000" w:themeColor="text1"/>
                <w:kern w:val="0"/>
                <w:sz w:val="24"/>
                <w:szCs w:val="24"/>
                <w:lang w:eastAsia="en-US" w:bidi="zh-CN"/>
                <w14:textFill>
                  <w14:solidFill>
                    <w14:schemeClr w14:val="tx1"/>
                  </w14:solidFill>
                </w14:textFill>
              </w:rPr>
              <w:t>μ</w:t>
            </w:r>
            <w:r>
              <w:rPr>
                <w:rFonts w:cs="宋体" w:asciiTheme="minorEastAsia" w:hAnsiTheme="minorEastAsia"/>
                <w:color w:val="000000" w:themeColor="text1"/>
                <w:kern w:val="0"/>
                <w:sz w:val="24"/>
                <w:szCs w:val="24"/>
                <w:lang w:eastAsia="zh-CN" w:bidi="zh-CN"/>
                <w14:textFill>
                  <w14:solidFill>
                    <w14:schemeClr w14:val="tx1"/>
                  </w14:solidFill>
                </w14:textFill>
              </w:rPr>
              <w:t>A）。</w:t>
            </w:r>
          </w:p>
          <w:p w14:paraId="0FFF94A8">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7.2 提供宽达9个数量级的电子动态范围</w:t>
            </w:r>
          </w:p>
          <w:p w14:paraId="5AF6AB53">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8</w:t>
            </w:r>
            <w:r>
              <w:rPr>
                <w:rFonts w:hint="eastAsia" w:cs="宋体" w:asciiTheme="minorEastAsia" w:hAnsiTheme="minorEastAsia"/>
                <w:color w:val="000000" w:themeColor="text1"/>
                <w:kern w:val="0"/>
                <w:sz w:val="24"/>
                <w:szCs w:val="24"/>
                <w:lang w:eastAsia="zh-CN" w:bidi="zh-CN"/>
                <w14:textFill>
                  <w14:solidFill>
                    <w14:schemeClr w14:val="tx1"/>
                  </w14:solidFill>
                </w14:textFill>
              </w:rPr>
              <w:t>.</w:t>
            </w:r>
            <w:r>
              <w:rPr>
                <w:rFonts w:cs="宋体" w:asciiTheme="minorEastAsia" w:hAnsiTheme="minorEastAsia"/>
                <w:color w:val="000000" w:themeColor="text1"/>
                <w:kern w:val="0"/>
                <w:sz w:val="24"/>
                <w:szCs w:val="24"/>
                <w:lang w:eastAsia="zh-CN" w:bidi="zh-CN"/>
                <w14:textFill>
                  <w14:solidFill>
                    <w14:schemeClr w14:val="tx1"/>
                  </w14:solidFill>
                </w14:textFill>
              </w:rPr>
              <w:t>灵敏度（使用He气做载气）：</w:t>
            </w:r>
          </w:p>
          <w:p w14:paraId="44177521">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8.1 EI 全扫描，1pg/µL八氟萘 进样1µL，扫描范围50-300u，S/N ≥ 1500:1 (mass 272，RMS)   。</w:t>
            </w:r>
          </w:p>
          <w:p w14:paraId="52F554FE">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 xml:space="preserve">8.2 仪器检出限（IDL）≤ 10 fg，（100 fg OFN 八次连续不分流进样，监测 m/z 272 离子的峰面积，置信区间为 99％）。   </w:t>
            </w:r>
          </w:p>
          <w:p w14:paraId="28CA8498">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9</w:t>
            </w:r>
            <w:r>
              <w:rPr>
                <w:rFonts w:hint="eastAsia" w:cs="宋体" w:asciiTheme="minorEastAsia" w:hAnsiTheme="minorEastAsia"/>
                <w:color w:val="000000" w:themeColor="text1"/>
                <w:kern w:val="0"/>
                <w:sz w:val="24"/>
                <w:szCs w:val="24"/>
                <w:lang w:eastAsia="zh-CN" w:bidi="zh-CN"/>
                <w14:textFill>
                  <w14:solidFill>
                    <w14:schemeClr w14:val="tx1"/>
                  </w14:solidFill>
                </w14:textFill>
              </w:rPr>
              <w:t>.</w:t>
            </w:r>
            <w:r>
              <w:rPr>
                <w:rFonts w:cs="宋体" w:asciiTheme="minorEastAsia" w:hAnsiTheme="minorEastAsia"/>
                <w:color w:val="000000" w:themeColor="text1"/>
                <w:kern w:val="0"/>
                <w:sz w:val="24"/>
                <w:szCs w:val="24"/>
                <w:lang w:eastAsia="zh-CN" w:bidi="zh-CN"/>
                <w14:textFill>
                  <w14:solidFill>
                    <w14:schemeClr w14:val="tx1"/>
                  </w14:solidFill>
                </w14:textFill>
              </w:rPr>
              <w:t>质谱顶部有透明玻璃视窗，可通过窗口方便的观测质谱硬件。</w:t>
            </w:r>
          </w:p>
          <w:p w14:paraId="7C4D7968">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10</w:t>
            </w:r>
            <w:r>
              <w:rPr>
                <w:rFonts w:hint="eastAsia" w:cs="宋体" w:asciiTheme="minorEastAsia" w:hAnsiTheme="minorEastAsia"/>
                <w:color w:val="000000" w:themeColor="text1"/>
                <w:kern w:val="0"/>
                <w:sz w:val="24"/>
                <w:szCs w:val="24"/>
                <w:lang w:eastAsia="en-US" w:bidi="zh-CN"/>
                <w14:textFill>
                  <w14:solidFill>
                    <w14:schemeClr w14:val="tx1"/>
                  </w14:solidFill>
                </w14:textFill>
              </w:rPr>
              <w:t>.</w:t>
            </w:r>
            <w:r>
              <w:rPr>
                <w:rFonts w:cs="宋体" w:asciiTheme="minorEastAsia" w:hAnsiTheme="minorEastAsia"/>
                <w:color w:val="000000" w:themeColor="text1"/>
                <w:kern w:val="0"/>
                <w:sz w:val="24"/>
                <w:szCs w:val="24"/>
                <w:lang w:eastAsia="en-US" w:bidi="zh-CN"/>
                <w14:textFill>
                  <w14:solidFill>
                    <w14:schemeClr w14:val="tx1"/>
                  </w14:solidFill>
                </w14:textFill>
              </w:rPr>
              <w:t>数据采集及数据处理</w:t>
            </w:r>
          </w:p>
          <w:p w14:paraId="433781D8">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en-US" w:bidi="zh-CN"/>
                <w14:textFill>
                  <w14:solidFill>
                    <w14:schemeClr w14:val="tx1"/>
                  </w14:solidFill>
                </w14:textFill>
              </w:rPr>
            </w:pPr>
            <w:r>
              <w:rPr>
                <w:rFonts w:cs="宋体" w:asciiTheme="minorEastAsia" w:hAnsiTheme="minorEastAsia"/>
                <w:color w:val="000000" w:themeColor="text1"/>
                <w:kern w:val="0"/>
                <w:sz w:val="24"/>
                <w:szCs w:val="24"/>
                <w:lang w:eastAsia="en-US" w:bidi="zh-CN"/>
                <w14:textFill>
                  <w14:solidFill>
                    <w14:schemeClr w14:val="tx1"/>
                  </w14:solidFill>
                </w14:textFill>
              </w:rPr>
              <w:t>10.1 必须支持如下扫描模式：全扫描(Full Scan), 特征离子扫描(SIM),定时-选择离子扫描 (Timed-SIM)，可进行全扫描，选择离子扫描，全扫描/选择离子扫描同时进行（Full Scan/SIM）, 定时-选择离子扫描(Timed-SIM)，全扫描/定时-选择离子扫描同时进行（Full Scan/Timed-SIM）。</w:t>
            </w:r>
          </w:p>
          <w:p w14:paraId="437D0712">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10.2具有AutoSIM和Timed-SIM功能（即根据全扫描自动生成SIM定量离子和保留时间的方法，并根据每个分析物的保留时间自动分配以该化合物保留时间为中心的SIM片段采集方法）。</w:t>
            </w:r>
          </w:p>
          <w:p w14:paraId="2E8521F2">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11</w:t>
            </w:r>
            <w:r>
              <w:rPr>
                <w:rFonts w:hint="eastAsia" w:cs="宋体" w:asciiTheme="minorEastAsia" w:hAnsiTheme="minorEastAsia"/>
                <w:color w:val="000000" w:themeColor="text1"/>
                <w:kern w:val="0"/>
                <w:sz w:val="24"/>
                <w:szCs w:val="24"/>
                <w:lang w:eastAsia="zh-CN" w:bidi="zh-CN"/>
                <w14:textFill>
                  <w14:solidFill>
                    <w14:schemeClr w14:val="tx1"/>
                  </w14:solidFill>
                </w14:textFill>
              </w:rPr>
              <w:t>.</w:t>
            </w:r>
            <w:r>
              <w:rPr>
                <w:rFonts w:cs="宋体" w:asciiTheme="minorEastAsia" w:hAnsiTheme="minorEastAsia"/>
                <w:color w:val="000000" w:themeColor="text1"/>
                <w:kern w:val="0"/>
                <w:sz w:val="24"/>
                <w:szCs w:val="24"/>
                <w:lang w:eastAsia="zh-CN" w:bidi="zh-CN"/>
                <w14:textFill>
                  <w14:solidFill>
                    <w14:schemeClr w14:val="tx1"/>
                  </w14:solidFill>
                </w14:textFill>
              </w:rPr>
              <w:t>数据处理软件及谱库</w:t>
            </w:r>
          </w:p>
          <w:p w14:paraId="447403AD">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11.1 原装软件，支持一款软件直接控制气相及质谱，直接控制质谱及执行调谐操作，无需其他插件。</w:t>
            </w:r>
          </w:p>
          <w:p w14:paraId="31BDD79E">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11.2 可同时支持 Oracle和SQL Server数据库，保障数据安全。</w:t>
            </w:r>
          </w:p>
          <w:p w14:paraId="5B05A515">
            <w:pPr>
              <w:autoSpaceDE w:val="0"/>
              <w:autoSpaceDN w:val="0"/>
              <w:spacing w:line="520" w:lineRule="exact"/>
              <w:ind w:firstLine="480" w:firstLineChars="200"/>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11.3 采集，定性，定量必须由同一软件实现，不可由不同软件分别实现。</w:t>
            </w:r>
          </w:p>
        </w:tc>
      </w:tr>
      <w:tr w14:paraId="58D45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jc w:val="center"/>
        </w:trPr>
        <w:tc>
          <w:tcPr>
            <w:tcW w:w="1118" w:type="dxa"/>
            <w:vAlign w:val="center"/>
          </w:tcPr>
          <w:p w14:paraId="10FEAF9E">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主要</w:t>
            </w:r>
          </w:p>
          <w:p w14:paraId="15A3F680">
            <w:pPr>
              <w:autoSpaceDE w:val="0"/>
              <w:autoSpaceDN w:val="0"/>
              <w:spacing w:line="520" w:lineRule="exact"/>
              <w:jc w:val="center"/>
              <w:rPr>
                <w:rFonts w:hint="eastAsia" w:cs="宋体" w:asciiTheme="minorEastAsia" w:hAnsiTheme="minorEastAsia"/>
                <w:b/>
                <w:color w:val="000000" w:themeColor="text1"/>
                <w:kern w:val="0"/>
                <w:sz w:val="24"/>
                <w:szCs w:val="24"/>
                <w:lang w:val="zh-CN" w:eastAsia="en-US" w:bidi="zh-CN"/>
                <w14:textFill>
                  <w14:solidFill>
                    <w14:schemeClr w14:val="tx1"/>
                  </w14:solidFill>
                </w14:textFill>
              </w:rPr>
            </w:pPr>
            <w:r>
              <w:rPr>
                <w:rFonts w:cs="宋体" w:asciiTheme="minorEastAsia" w:hAnsiTheme="minorEastAsia"/>
                <w:b/>
                <w:color w:val="000000" w:themeColor="text1"/>
                <w:kern w:val="0"/>
                <w:sz w:val="24"/>
                <w:szCs w:val="24"/>
                <w:lang w:val="zh-CN" w:eastAsia="en-US" w:bidi="zh-CN"/>
                <w14:textFill>
                  <w14:solidFill>
                    <w14:schemeClr w14:val="tx1"/>
                  </w14:solidFill>
                </w14:textFill>
              </w:rPr>
              <w:t>功能</w:t>
            </w:r>
          </w:p>
        </w:tc>
        <w:tc>
          <w:tcPr>
            <w:tcW w:w="8512" w:type="dxa"/>
            <w:gridSpan w:val="2"/>
            <w:tcBorders>
              <w:right w:val="single" w:color="000000" w:sz="6" w:space="0"/>
            </w:tcBorders>
            <w:vAlign w:val="center"/>
          </w:tcPr>
          <w:p w14:paraId="4E345C86">
            <w:pPr>
              <w:autoSpaceDE w:val="0"/>
              <w:autoSpaceDN w:val="0"/>
              <w:spacing w:line="520" w:lineRule="exact"/>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hint="eastAsia" w:cs="宋体" w:asciiTheme="minorEastAsia" w:hAnsiTheme="minorEastAsia"/>
                <w:color w:val="000000" w:themeColor="text1"/>
                <w:kern w:val="0"/>
                <w:sz w:val="24"/>
                <w:szCs w:val="24"/>
                <w:lang w:eastAsia="zh-CN" w:bidi="zh-CN"/>
                <w14:textFill>
                  <w14:solidFill>
                    <w14:schemeClr w14:val="tx1"/>
                  </w14:solidFill>
                </w14:textFill>
              </w:rPr>
              <w:t>1、适用于复杂混合物中挥发性及半挥发性有机化合物的高效分离、定性鉴定与定量分析。</w:t>
            </w:r>
          </w:p>
          <w:p w14:paraId="49CE5A38">
            <w:pPr>
              <w:autoSpaceDE w:val="0"/>
              <w:autoSpaceDN w:val="0"/>
              <w:spacing w:line="520" w:lineRule="exact"/>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cs="宋体" w:asciiTheme="minorEastAsia" w:hAnsiTheme="minorEastAsia"/>
                <w:color w:val="000000" w:themeColor="text1"/>
                <w:kern w:val="0"/>
                <w:sz w:val="24"/>
                <w:szCs w:val="24"/>
                <w:lang w:eastAsia="zh-CN" w:bidi="zh-CN"/>
                <w14:textFill>
                  <w14:solidFill>
                    <w14:schemeClr w14:val="tx1"/>
                  </w14:solidFill>
                </w14:textFill>
              </w:rPr>
              <w:t>2</w:t>
            </w:r>
            <w:r>
              <w:rPr>
                <w:rFonts w:hint="eastAsia" w:cs="宋体" w:asciiTheme="minorEastAsia" w:hAnsiTheme="minorEastAsia"/>
                <w:color w:val="000000" w:themeColor="text1"/>
                <w:kern w:val="0"/>
                <w:sz w:val="24"/>
                <w:szCs w:val="24"/>
                <w:lang w:eastAsia="zh-CN" w:bidi="zh-CN"/>
                <w14:textFill>
                  <w14:solidFill>
                    <w14:schemeClr w14:val="tx1"/>
                  </w14:solidFill>
                </w14:textFill>
              </w:rPr>
              <w:t>、适用于超痕量有机物的高灵敏度检测与多残留筛查分析。</w:t>
            </w:r>
          </w:p>
          <w:p w14:paraId="0C67F282">
            <w:pPr>
              <w:autoSpaceDE w:val="0"/>
              <w:autoSpaceDN w:val="0"/>
              <w:spacing w:line="520" w:lineRule="exact"/>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hint="eastAsia" w:cs="宋体" w:asciiTheme="minorEastAsia" w:hAnsiTheme="minorEastAsia"/>
                <w:color w:val="000000" w:themeColor="text1"/>
                <w:kern w:val="0"/>
                <w:sz w:val="24"/>
                <w:szCs w:val="24"/>
                <w:lang w:eastAsia="zh-CN" w:bidi="zh-CN"/>
                <w14:textFill>
                  <w14:solidFill>
                    <w14:schemeClr w14:val="tx1"/>
                  </w14:solidFill>
                </w14:textFill>
              </w:rPr>
              <w:t>3、适用于沸点较低、热稳定性较好的小分子化合物的检测。</w:t>
            </w:r>
          </w:p>
          <w:p w14:paraId="0ACF28BE">
            <w:pPr>
              <w:autoSpaceDE w:val="0"/>
              <w:autoSpaceDN w:val="0"/>
              <w:spacing w:line="520" w:lineRule="exact"/>
              <w:rPr>
                <w:rFonts w:hint="eastAsia" w:cs="宋体" w:asciiTheme="minorEastAsia" w:hAnsiTheme="minorEastAsia"/>
                <w:color w:val="000000" w:themeColor="text1"/>
                <w:kern w:val="0"/>
                <w:sz w:val="24"/>
                <w:szCs w:val="24"/>
                <w:lang w:eastAsia="zh-CN" w:bidi="zh-CN"/>
                <w14:textFill>
                  <w14:solidFill>
                    <w14:schemeClr w14:val="tx1"/>
                  </w14:solidFill>
                </w14:textFill>
              </w:rPr>
            </w:pPr>
            <w:r>
              <w:rPr>
                <w:rFonts w:hint="eastAsia" w:cs="宋体" w:asciiTheme="minorEastAsia" w:hAnsiTheme="minorEastAsia"/>
                <w:color w:val="000000" w:themeColor="text1"/>
                <w:kern w:val="0"/>
                <w:sz w:val="24"/>
                <w:szCs w:val="24"/>
                <w:lang w:eastAsia="zh-CN" w:bidi="zh-CN"/>
                <w14:textFill>
                  <w14:solidFill>
                    <w14:schemeClr w14:val="tx1"/>
                  </w14:solidFill>
                </w14:textFill>
              </w:rPr>
              <w:t>4、适用于借助化学衍生化技术拓展至非挥发性/极性代谢物的定性定量分析。</w:t>
            </w:r>
          </w:p>
          <w:p w14:paraId="485AA763">
            <w:pPr>
              <w:autoSpaceDE w:val="0"/>
              <w:autoSpaceDN w:val="0"/>
              <w:spacing w:line="520" w:lineRule="exact"/>
              <w:rPr>
                <w:rFonts w:hint="eastAsia" w:cs="宋体" w:asciiTheme="minorEastAsia" w:hAnsiTheme="minorEastAsia"/>
                <w:color w:val="000000" w:themeColor="text1"/>
                <w:kern w:val="0"/>
                <w:sz w:val="24"/>
                <w:szCs w:val="24"/>
                <w:lang w:val="zh-CN" w:eastAsia="zh-CN" w:bidi="zh-CN"/>
                <w14:textFill>
                  <w14:solidFill>
                    <w14:schemeClr w14:val="tx1"/>
                  </w14:solidFill>
                </w14:textFill>
              </w:rPr>
            </w:pPr>
            <w:r>
              <w:rPr>
                <w:rFonts w:hint="eastAsia" w:cs="宋体" w:asciiTheme="minorEastAsia" w:hAnsiTheme="minorEastAsia"/>
                <w:color w:val="000000" w:themeColor="text1"/>
                <w:kern w:val="0"/>
                <w:sz w:val="24"/>
                <w:szCs w:val="24"/>
                <w:lang w:eastAsia="zh-CN" w:bidi="zh-CN"/>
                <w14:textFill>
                  <w14:solidFill>
                    <w14:schemeClr w14:val="tx1"/>
                  </w14:solidFill>
                </w14:textFill>
              </w:rPr>
              <w:t>5、适用于结合标准谱库进行未知物的快速匹配鉴定与结构解析。</w:t>
            </w:r>
          </w:p>
        </w:tc>
      </w:tr>
      <w:bookmarkEnd w:id="1"/>
    </w:tbl>
    <w:p w14:paraId="0A7D1165">
      <w:pPr>
        <w:widowControl/>
        <w:spacing w:line="520" w:lineRule="exact"/>
        <w:ind w:firstLine="480" w:firstLineChars="200"/>
        <w:rPr>
          <w:rFonts w:hint="eastAsia" w:asciiTheme="minorEastAsia" w:hAnsiTheme="minorEastAsia"/>
          <w:color w:val="000000" w:themeColor="text1"/>
          <w:sz w:val="24"/>
          <w:szCs w:val="24"/>
          <w14:textFill>
            <w14:solidFill>
              <w14:schemeClr w14:val="tx1"/>
            </w14:solidFill>
          </w14:textFill>
        </w:rPr>
      </w:pPr>
    </w:p>
    <w:p w14:paraId="53658BEE">
      <w:pPr>
        <w:widowControl/>
        <w:spacing w:line="520" w:lineRule="exact"/>
        <w:ind w:firstLine="480" w:firstLineChars="200"/>
        <w:rPr>
          <w:rFonts w:hint="eastAsia" w:asciiTheme="minorEastAsia" w:hAnsiTheme="minorEastAsia"/>
          <w:color w:val="000000" w:themeColor="text1"/>
          <w:sz w:val="24"/>
          <w:szCs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1" w:fontKey="{50A4A215-7BA0-4D55-8244-CE6DB208FE42}"/>
  </w:font>
  <w:font w:name="仿宋">
    <w:panose1 w:val="02010609060101010101"/>
    <w:charset w:val="86"/>
    <w:family w:val="modern"/>
    <w:pitch w:val="default"/>
    <w:sig w:usb0="800002BF" w:usb1="38CF7CFA" w:usb2="00000016" w:usb3="00000000" w:csb0="00040001" w:csb1="00000000"/>
    <w:embedRegular r:id="rId2" w:fontKey="{767DC302-DF81-4F36-9220-0ABC9F38C1A9}"/>
  </w:font>
  <w:font w:name="Cambria Math">
    <w:panose1 w:val="02040503050406030204"/>
    <w:charset w:val="00"/>
    <w:family w:val="roman"/>
    <w:pitch w:val="default"/>
    <w:sig w:usb0="E00006FF" w:usb1="420024FF" w:usb2="02000000" w:usb3="00000000" w:csb0="2000019F" w:csb1="00000000"/>
    <w:embedRegular r:id="rId3" w:fontKey="{66752E96-6AEC-4FD0-BD1D-75BB1F360A99}"/>
  </w:font>
  <w:font w:name="BatangChe">
    <w:panose1 w:val="02030609000101010101"/>
    <w:charset w:val="81"/>
    <w:family w:val="modern"/>
    <w:pitch w:val="default"/>
    <w:sig w:usb0="B00002AF" w:usb1="69D77CFB" w:usb2="00000030" w:usb3="00000000" w:csb0="4008009F" w:csb1="DFD70000"/>
  </w:font>
  <w:font w:name="Segoe UI Symbol">
    <w:panose1 w:val="020B0502040204020203"/>
    <w:charset w:val="00"/>
    <w:family w:val="swiss"/>
    <w:pitch w:val="default"/>
    <w:sig w:usb0="800001E3" w:usb1="1200FFEF" w:usb2="00040000" w:usb3="04000000" w:csb0="00000001" w:csb1="40000000"/>
  </w:font>
  <w:font w:name="WPSEMBED1">
    <w:panose1 w:val="02030609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zZjg4YzU2ZWFhOGYxNTI3ZWI4Y2E2OGM5ZjY5YTMifQ=="/>
  </w:docVars>
  <w:rsids>
    <w:rsidRoot w:val="00E26EEF"/>
    <w:rsid w:val="000061C2"/>
    <w:rsid w:val="0001197C"/>
    <w:rsid w:val="00016D51"/>
    <w:rsid w:val="00021AFF"/>
    <w:rsid w:val="000261FC"/>
    <w:rsid w:val="00035A5B"/>
    <w:rsid w:val="00036D1A"/>
    <w:rsid w:val="000404C5"/>
    <w:rsid w:val="00046598"/>
    <w:rsid w:val="00070F16"/>
    <w:rsid w:val="0007300E"/>
    <w:rsid w:val="00073D4A"/>
    <w:rsid w:val="00077241"/>
    <w:rsid w:val="00085252"/>
    <w:rsid w:val="000A0ED6"/>
    <w:rsid w:val="000B0A66"/>
    <w:rsid w:val="000C43EB"/>
    <w:rsid w:val="000D0BAB"/>
    <w:rsid w:val="000F0D45"/>
    <w:rsid w:val="000F3EB3"/>
    <w:rsid w:val="000F54E5"/>
    <w:rsid w:val="00111248"/>
    <w:rsid w:val="00127EA5"/>
    <w:rsid w:val="00133C25"/>
    <w:rsid w:val="00161717"/>
    <w:rsid w:val="00184DBE"/>
    <w:rsid w:val="00186C89"/>
    <w:rsid w:val="001964B5"/>
    <w:rsid w:val="001A37C1"/>
    <w:rsid w:val="001B0335"/>
    <w:rsid w:val="001B30DE"/>
    <w:rsid w:val="001B4472"/>
    <w:rsid w:val="001B4607"/>
    <w:rsid w:val="001E1BEA"/>
    <w:rsid w:val="001E3754"/>
    <w:rsid w:val="001F1623"/>
    <w:rsid w:val="00200327"/>
    <w:rsid w:val="00200C11"/>
    <w:rsid w:val="00231E5A"/>
    <w:rsid w:val="002576CE"/>
    <w:rsid w:val="00257A5B"/>
    <w:rsid w:val="00263913"/>
    <w:rsid w:val="00264CCE"/>
    <w:rsid w:val="00273736"/>
    <w:rsid w:val="00280449"/>
    <w:rsid w:val="002805B7"/>
    <w:rsid w:val="0029545C"/>
    <w:rsid w:val="002A08B1"/>
    <w:rsid w:val="002B08A0"/>
    <w:rsid w:val="002B256D"/>
    <w:rsid w:val="002B3673"/>
    <w:rsid w:val="002C5F7B"/>
    <w:rsid w:val="002E51A4"/>
    <w:rsid w:val="002F27D9"/>
    <w:rsid w:val="002F27DE"/>
    <w:rsid w:val="002F2B16"/>
    <w:rsid w:val="002F34DE"/>
    <w:rsid w:val="00303D63"/>
    <w:rsid w:val="003214F7"/>
    <w:rsid w:val="00324825"/>
    <w:rsid w:val="00331C34"/>
    <w:rsid w:val="003329F5"/>
    <w:rsid w:val="0034303C"/>
    <w:rsid w:val="00355FB3"/>
    <w:rsid w:val="003577B2"/>
    <w:rsid w:val="003B42DF"/>
    <w:rsid w:val="003B783D"/>
    <w:rsid w:val="003C4D99"/>
    <w:rsid w:val="003C59DF"/>
    <w:rsid w:val="003C73E5"/>
    <w:rsid w:val="003D1653"/>
    <w:rsid w:val="003E5FC2"/>
    <w:rsid w:val="003F175F"/>
    <w:rsid w:val="00410DBA"/>
    <w:rsid w:val="00421B62"/>
    <w:rsid w:val="004518B9"/>
    <w:rsid w:val="004637E6"/>
    <w:rsid w:val="00467278"/>
    <w:rsid w:val="00482C04"/>
    <w:rsid w:val="0048373D"/>
    <w:rsid w:val="004864A7"/>
    <w:rsid w:val="004A544B"/>
    <w:rsid w:val="004A79A4"/>
    <w:rsid w:val="004C3144"/>
    <w:rsid w:val="004C7098"/>
    <w:rsid w:val="004D1D3B"/>
    <w:rsid w:val="004E4754"/>
    <w:rsid w:val="004F3CF9"/>
    <w:rsid w:val="005005C0"/>
    <w:rsid w:val="005223AC"/>
    <w:rsid w:val="0052671B"/>
    <w:rsid w:val="00540C2D"/>
    <w:rsid w:val="00555BD7"/>
    <w:rsid w:val="00565BE3"/>
    <w:rsid w:val="00585417"/>
    <w:rsid w:val="005918D1"/>
    <w:rsid w:val="00593333"/>
    <w:rsid w:val="00594145"/>
    <w:rsid w:val="00596C6F"/>
    <w:rsid w:val="005A360F"/>
    <w:rsid w:val="005A54A9"/>
    <w:rsid w:val="005A7EE8"/>
    <w:rsid w:val="005B5AE1"/>
    <w:rsid w:val="005C3650"/>
    <w:rsid w:val="005F1037"/>
    <w:rsid w:val="005F1735"/>
    <w:rsid w:val="0061539A"/>
    <w:rsid w:val="00621017"/>
    <w:rsid w:val="0063615B"/>
    <w:rsid w:val="00636207"/>
    <w:rsid w:val="00654D8E"/>
    <w:rsid w:val="00671AEB"/>
    <w:rsid w:val="00676044"/>
    <w:rsid w:val="006A7CBF"/>
    <w:rsid w:val="006B1E86"/>
    <w:rsid w:val="006D492A"/>
    <w:rsid w:val="006E267A"/>
    <w:rsid w:val="006E3111"/>
    <w:rsid w:val="006E554A"/>
    <w:rsid w:val="00715619"/>
    <w:rsid w:val="00715FAB"/>
    <w:rsid w:val="0074252F"/>
    <w:rsid w:val="0078516A"/>
    <w:rsid w:val="00786644"/>
    <w:rsid w:val="007A5430"/>
    <w:rsid w:val="007A5E7A"/>
    <w:rsid w:val="007B0C7A"/>
    <w:rsid w:val="007B0F53"/>
    <w:rsid w:val="007C3E58"/>
    <w:rsid w:val="007C7ECC"/>
    <w:rsid w:val="007E17FD"/>
    <w:rsid w:val="007F0427"/>
    <w:rsid w:val="008007D0"/>
    <w:rsid w:val="00801B5D"/>
    <w:rsid w:val="008149CF"/>
    <w:rsid w:val="00814EE1"/>
    <w:rsid w:val="00816481"/>
    <w:rsid w:val="00835F62"/>
    <w:rsid w:val="0086235D"/>
    <w:rsid w:val="00863826"/>
    <w:rsid w:val="00864CFD"/>
    <w:rsid w:val="008660D6"/>
    <w:rsid w:val="00867B14"/>
    <w:rsid w:val="00880BBF"/>
    <w:rsid w:val="00892AD8"/>
    <w:rsid w:val="008975F8"/>
    <w:rsid w:val="008A6AA0"/>
    <w:rsid w:val="008C45F9"/>
    <w:rsid w:val="008D0E65"/>
    <w:rsid w:val="008E0200"/>
    <w:rsid w:val="008E135D"/>
    <w:rsid w:val="00936602"/>
    <w:rsid w:val="009447CB"/>
    <w:rsid w:val="0096120B"/>
    <w:rsid w:val="009817BC"/>
    <w:rsid w:val="00985130"/>
    <w:rsid w:val="009A00C6"/>
    <w:rsid w:val="009A61EF"/>
    <w:rsid w:val="009B0241"/>
    <w:rsid w:val="009E75E6"/>
    <w:rsid w:val="009F3143"/>
    <w:rsid w:val="00A14E00"/>
    <w:rsid w:val="00A248A1"/>
    <w:rsid w:val="00A50B31"/>
    <w:rsid w:val="00A64C23"/>
    <w:rsid w:val="00A70E20"/>
    <w:rsid w:val="00A80992"/>
    <w:rsid w:val="00A91786"/>
    <w:rsid w:val="00A928DE"/>
    <w:rsid w:val="00AA0B21"/>
    <w:rsid w:val="00AA2C47"/>
    <w:rsid w:val="00AC10EE"/>
    <w:rsid w:val="00AC7F0F"/>
    <w:rsid w:val="00AD436F"/>
    <w:rsid w:val="00AD755C"/>
    <w:rsid w:val="00AE350A"/>
    <w:rsid w:val="00AE73A7"/>
    <w:rsid w:val="00B014BC"/>
    <w:rsid w:val="00B15418"/>
    <w:rsid w:val="00B208CC"/>
    <w:rsid w:val="00B3746B"/>
    <w:rsid w:val="00B42359"/>
    <w:rsid w:val="00B459D5"/>
    <w:rsid w:val="00B46738"/>
    <w:rsid w:val="00B75634"/>
    <w:rsid w:val="00B800FC"/>
    <w:rsid w:val="00B94A57"/>
    <w:rsid w:val="00BA5563"/>
    <w:rsid w:val="00BA7998"/>
    <w:rsid w:val="00BB25A2"/>
    <w:rsid w:val="00BB5C55"/>
    <w:rsid w:val="00BD5CBA"/>
    <w:rsid w:val="00C00C16"/>
    <w:rsid w:val="00C407ED"/>
    <w:rsid w:val="00C43A8B"/>
    <w:rsid w:val="00C71C04"/>
    <w:rsid w:val="00C7653C"/>
    <w:rsid w:val="00C95447"/>
    <w:rsid w:val="00CA0897"/>
    <w:rsid w:val="00CB44F9"/>
    <w:rsid w:val="00CD7415"/>
    <w:rsid w:val="00CE2B1B"/>
    <w:rsid w:val="00CE4BD0"/>
    <w:rsid w:val="00CF0914"/>
    <w:rsid w:val="00CF22AF"/>
    <w:rsid w:val="00CF71B2"/>
    <w:rsid w:val="00D01C7C"/>
    <w:rsid w:val="00D15424"/>
    <w:rsid w:val="00D324D1"/>
    <w:rsid w:val="00D57A7D"/>
    <w:rsid w:val="00D60843"/>
    <w:rsid w:val="00D87C45"/>
    <w:rsid w:val="00DA0924"/>
    <w:rsid w:val="00DA1DD0"/>
    <w:rsid w:val="00DC25E4"/>
    <w:rsid w:val="00DC4533"/>
    <w:rsid w:val="00DC50E5"/>
    <w:rsid w:val="00DD55F8"/>
    <w:rsid w:val="00DD7C4E"/>
    <w:rsid w:val="00DE6D3D"/>
    <w:rsid w:val="00E014B0"/>
    <w:rsid w:val="00E26EEF"/>
    <w:rsid w:val="00E377EE"/>
    <w:rsid w:val="00E41037"/>
    <w:rsid w:val="00E4263A"/>
    <w:rsid w:val="00E42722"/>
    <w:rsid w:val="00E43260"/>
    <w:rsid w:val="00E82138"/>
    <w:rsid w:val="00E825F3"/>
    <w:rsid w:val="00E84713"/>
    <w:rsid w:val="00EB54A7"/>
    <w:rsid w:val="00EC0B32"/>
    <w:rsid w:val="00ED02B1"/>
    <w:rsid w:val="00EE6198"/>
    <w:rsid w:val="00EF5149"/>
    <w:rsid w:val="00F01CB8"/>
    <w:rsid w:val="00F04AF4"/>
    <w:rsid w:val="00F43232"/>
    <w:rsid w:val="00F5079A"/>
    <w:rsid w:val="00F664FB"/>
    <w:rsid w:val="00F670BC"/>
    <w:rsid w:val="00F85653"/>
    <w:rsid w:val="00F95715"/>
    <w:rsid w:val="00F9778D"/>
    <w:rsid w:val="00FC53A3"/>
    <w:rsid w:val="00FC5E6D"/>
    <w:rsid w:val="00FE0769"/>
    <w:rsid w:val="00FE3592"/>
    <w:rsid w:val="00FF4893"/>
    <w:rsid w:val="00FF55A9"/>
    <w:rsid w:val="0B2B4EB7"/>
    <w:rsid w:val="0E67321C"/>
    <w:rsid w:val="0FFC7A7F"/>
    <w:rsid w:val="12A44A97"/>
    <w:rsid w:val="16A73AA6"/>
    <w:rsid w:val="1BB31B29"/>
    <w:rsid w:val="1EC06E49"/>
    <w:rsid w:val="242A0B1C"/>
    <w:rsid w:val="284F2296"/>
    <w:rsid w:val="2BA07916"/>
    <w:rsid w:val="32905BA8"/>
    <w:rsid w:val="34B306BA"/>
    <w:rsid w:val="38DE3946"/>
    <w:rsid w:val="51AE428B"/>
    <w:rsid w:val="53537EE6"/>
    <w:rsid w:val="59981AA8"/>
    <w:rsid w:val="59C867CF"/>
    <w:rsid w:val="5CE27E18"/>
    <w:rsid w:val="5E70660C"/>
    <w:rsid w:val="5F037BC1"/>
    <w:rsid w:val="600F4754"/>
    <w:rsid w:val="68F001C0"/>
    <w:rsid w:val="72B06BA5"/>
    <w:rsid w:val="76841E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240" w:after="24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140" w:after="14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5"/>
    <w:unhideWhenUsed/>
    <w:qFormat/>
    <w:uiPriority w:val="9"/>
    <w:pPr>
      <w:keepNext/>
      <w:keepLines/>
      <w:spacing w:before="140" w:after="140" w:line="416" w:lineRule="auto"/>
      <w:outlineLvl w:val="2"/>
    </w:pPr>
    <w:rPr>
      <w:b/>
      <w:bCs/>
      <w:sz w:val="32"/>
      <w:szCs w:val="32"/>
    </w:rPr>
  </w:style>
  <w:style w:type="paragraph" w:styleId="5">
    <w:name w:val="heading 4"/>
    <w:basedOn w:val="1"/>
    <w:next w:val="1"/>
    <w:link w:val="18"/>
    <w:qFormat/>
    <w:uiPriority w:val="0"/>
    <w:pPr>
      <w:keepNext/>
      <w:keepLines/>
      <w:spacing w:line="360" w:lineRule="auto"/>
      <w:jc w:val="center"/>
      <w:outlineLvl w:val="3"/>
    </w:pPr>
    <w:rPr>
      <w:rFonts w:hAnsi="Arial" w:cs="Times New Roman" w:asciiTheme="majorEastAsia" w:eastAsiaTheme="majorEastAsia"/>
      <w:b/>
      <w:bCs/>
      <w:sz w:val="24"/>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7"/>
    <w:semiHidden/>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pPr>
    <w:rPr>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pPr>
    <w:rPr>
      <w:rFonts w:ascii="Times New Roman" w:hAnsi="Times New Roman" w:cs="Times New Roman"/>
      <w:sz w:val="24"/>
      <w:szCs w:val="24"/>
      <w14:ligatures w14:val="standardContextual"/>
    </w:rPr>
  </w:style>
  <w:style w:type="paragraph" w:styleId="10">
    <w:name w:val="Title"/>
    <w:basedOn w:val="1"/>
    <w:link w:val="16"/>
    <w:qFormat/>
    <w:uiPriority w:val="0"/>
    <w:pPr>
      <w:jc w:val="center"/>
    </w:pPr>
    <w:rPr>
      <w:sz w:val="30"/>
      <w:szCs w:val="24"/>
    </w:rPr>
  </w:style>
  <w:style w:type="character" w:customStyle="1" w:styleId="13">
    <w:name w:val="标题 1 字符"/>
    <w:basedOn w:val="12"/>
    <w:link w:val="2"/>
    <w:qFormat/>
    <w:uiPriority w:val="9"/>
    <w:rPr>
      <w:b/>
      <w:bCs/>
      <w:kern w:val="44"/>
      <w:sz w:val="44"/>
      <w:szCs w:val="44"/>
    </w:rPr>
  </w:style>
  <w:style w:type="character" w:customStyle="1" w:styleId="14">
    <w:name w:val="标题 2 字符"/>
    <w:basedOn w:val="12"/>
    <w:link w:val="3"/>
    <w:qFormat/>
    <w:uiPriority w:val="9"/>
    <w:rPr>
      <w:rFonts w:asciiTheme="majorHAnsi" w:hAnsiTheme="majorHAnsi" w:eastAsiaTheme="majorEastAsia" w:cstheme="majorBidi"/>
      <w:b/>
      <w:bCs/>
      <w:sz w:val="32"/>
      <w:szCs w:val="32"/>
    </w:rPr>
  </w:style>
  <w:style w:type="character" w:customStyle="1" w:styleId="15">
    <w:name w:val="标题 3 字符"/>
    <w:basedOn w:val="12"/>
    <w:link w:val="4"/>
    <w:qFormat/>
    <w:uiPriority w:val="9"/>
    <w:rPr>
      <w:b/>
      <w:bCs/>
      <w:sz w:val="32"/>
      <w:szCs w:val="32"/>
    </w:rPr>
  </w:style>
  <w:style w:type="character" w:customStyle="1" w:styleId="16">
    <w:name w:val="标题 字符"/>
    <w:link w:val="10"/>
    <w:qFormat/>
    <w:uiPriority w:val="0"/>
    <w:rPr>
      <w:sz w:val="30"/>
      <w:szCs w:val="24"/>
    </w:rPr>
  </w:style>
  <w:style w:type="paragraph" w:customStyle="1" w:styleId="17">
    <w:name w:val="宋四一级"/>
    <w:qFormat/>
    <w:uiPriority w:val="0"/>
    <w:pPr>
      <w:spacing w:line="360" w:lineRule="auto"/>
      <w:outlineLvl w:val="0"/>
    </w:pPr>
    <w:rPr>
      <w:rFonts w:ascii="Calibri" w:hAnsi="Calibri" w:eastAsia="宋体" w:cs="Times New Roman"/>
      <w:kern w:val="2"/>
      <w:sz w:val="28"/>
      <w:szCs w:val="22"/>
      <w:lang w:val="en-US" w:eastAsia="zh-CN" w:bidi="ar-SA"/>
    </w:rPr>
  </w:style>
  <w:style w:type="character" w:customStyle="1" w:styleId="18">
    <w:name w:val="标题 4 字符"/>
    <w:basedOn w:val="12"/>
    <w:link w:val="5"/>
    <w:qFormat/>
    <w:uiPriority w:val="0"/>
    <w:rPr>
      <w:rFonts w:hAnsi="Arial" w:cs="Times New Roman" w:asciiTheme="majorEastAsia" w:eastAsiaTheme="majorEastAsia"/>
      <w:b/>
      <w:bCs/>
      <w:sz w:val="24"/>
      <w:szCs w:val="28"/>
    </w:rPr>
  </w:style>
  <w:style w:type="character" w:customStyle="1" w:styleId="19">
    <w:name w:val="页眉 字符"/>
    <w:basedOn w:val="12"/>
    <w:link w:val="8"/>
    <w:qFormat/>
    <w:uiPriority w:val="99"/>
    <w:rPr>
      <w:sz w:val="18"/>
      <w:szCs w:val="18"/>
    </w:rPr>
  </w:style>
  <w:style w:type="character" w:customStyle="1" w:styleId="20">
    <w:name w:val="页脚 字符"/>
    <w:basedOn w:val="12"/>
    <w:link w:val="7"/>
    <w:qFormat/>
    <w:uiPriority w:val="99"/>
    <w:rPr>
      <w:sz w:val="18"/>
      <w:szCs w:val="18"/>
    </w:rPr>
  </w:style>
  <w:style w:type="table" w:customStyle="1" w:styleId="2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table" w:customStyle="1" w:styleId="22">
    <w:name w:val="Table Normal1"/>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23">
    <w:name w:val="Table Paragraph"/>
    <w:basedOn w:val="1"/>
    <w:qFormat/>
    <w:uiPriority w:val="0"/>
    <w:pPr>
      <w:autoSpaceDE w:val="0"/>
      <w:autoSpaceDN w:val="0"/>
    </w:pPr>
    <w:rPr>
      <w:rFonts w:ascii="宋体" w:hAnsi="宋体" w:eastAsia="宋体" w:cs="宋体"/>
      <w:kern w:val="0"/>
      <w:sz w:val="22"/>
      <w:lang w:val="zh-CN" w:bidi="zh-CN"/>
    </w:rPr>
  </w:style>
  <w:style w:type="table" w:customStyle="1" w:styleId="24">
    <w:name w:val="Table Normal2"/>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table" w:customStyle="1" w:styleId="25">
    <w:name w:val="Table Normal3"/>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styleId="26">
    <w:name w:val="List Paragraph"/>
    <w:basedOn w:val="1"/>
    <w:qFormat/>
    <w:uiPriority w:val="34"/>
    <w:pPr>
      <w:ind w:firstLine="420" w:firstLineChars="200"/>
    </w:pPr>
  </w:style>
  <w:style w:type="character" w:customStyle="1" w:styleId="27">
    <w:name w:val="批注框文本 字符"/>
    <w:basedOn w:val="12"/>
    <w:link w:val="6"/>
    <w:semiHidden/>
    <w:qFormat/>
    <w:uiPriority w:val="99"/>
    <w:rPr>
      <w:sz w:val="18"/>
      <w:szCs w:val="18"/>
    </w:rPr>
  </w:style>
  <w:style w:type="paragraph" w:customStyle="1" w:styleId="28">
    <w:name w:val="正文1"/>
    <w:basedOn w:val="1"/>
    <w:qFormat/>
    <w:uiPriority w:val="0"/>
    <w:pPr>
      <w:widowControl/>
    </w:pPr>
    <w:rPr>
      <w:rFonts w:ascii="Calibri" w:hAnsi="Calibri" w:cs="Calibri"/>
      <w:szCs w:val="21"/>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660</Words>
  <Characters>774</Characters>
  <Lines>51</Lines>
  <Paragraphs>14</Paragraphs>
  <TotalTime>0</TotalTime>
  <ScaleCrop>false</ScaleCrop>
  <LinksUpToDate>false</LinksUpToDate>
  <CharactersWithSpaces>888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2026-10-19T01:36:00Z</dcterms:created>
  <dc:creator>Tristan</dc:creator>
  <cp:lastModifiedBy>梁生</cp:lastModifiedBy>
  <cp:lastPrinted>2026-10-23T03:24:13Z</cp:lastPrinted>
  <dcterms:modified xsi:type="dcterms:W3CDTF">2026-10-23T03:47:57Z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eyJoZGlkIjoiOWRlNTkyN2ZjNGQxOGYzYjljN2U0YTEyMzQ3NjRlMGUiLCJ1c2VySWQiOiIxNjk2OTk1MzY0In0=</vt:lpwstr>
  </property>
  <property fmtid="{D5CDD505-2E9C-101B-9397-08002B2CF9AE}" pid="4" name="ICV">
    <vt:lpwstr>C3867B85C65740BDB75329D90C738146_13</vt:lpwstr>
  </property>
</Properties>
</file>