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980E3F">
      <w:pPr>
        <w:widowControl/>
        <w:spacing w:line="520" w:lineRule="exact"/>
        <w:rPr>
          <w:rFonts w:hint="eastAsia" w:asciiTheme="minorEastAsia" w:hAnsiTheme="minor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bookmarkStart w:id="0" w:name="_Hlk66111534"/>
      <w:r>
        <w:rPr>
          <w:rFonts w:hint="eastAsia" w:asciiTheme="minorEastAsia" w:hAnsiTheme="minorEastAsia"/>
          <w:color w:val="000000" w:themeColor="text1"/>
          <w:sz w:val="30"/>
          <w:szCs w:val="30"/>
          <w:lang w:bidi="zh-CN"/>
          <w14:textFill>
            <w14:solidFill>
              <w14:schemeClr w14:val="tx1"/>
            </w14:solidFill>
          </w14:textFill>
        </w:rPr>
        <w:t>附件：</w:t>
      </w:r>
    </w:p>
    <w:tbl>
      <w:tblPr>
        <w:tblStyle w:val="20"/>
        <w:tblW w:w="963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8"/>
        <w:gridCol w:w="1111"/>
        <w:gridCol w:w="7401"/>
      </w:tblGrid>
      <w:tr w14:paraId="19E69A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2229" w:type="dxa"/>
            <w:gridSpan w:val="2"/>
            <w:vAlign w:val="center"/>
          </w:tcPr>
          <w:p w14:paraId="2443E430">
            <w:pPr>
              <w:autoSpaceDE w:val="0"/>
              <w:autoSpaceDN w:val="0"/>
              <w:spacing w:line="520" w:lineRule="exact"/>
              <w:jc w:val="center"/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  <w:t>仪器设备中文名称</w:t>
            </w:r>
          </w:p>
        </w:tc>
        <w:tc>
          <w:tcPr>
            <w:tcW w:w="7401" w:type="dxa"/>
            <w:tcBorders>
              <w:right w:val="single" w:color="000000" w:sz="6" w:space="0"/>
            </w:tcBorders>
            <w:vAlign w:val="center"/>
          </w:tcPr>
          <w:p w14:paraId="5B95B8FD">
            <w:pPr>
              <w:autoSpaceDE w:val="0"/>
              <w:autoSpaceDN w:val="0"/>
              <w:spacing w:line="520" w:lineRule="exact"/>
              <w:jc w:val="center"/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  <w:t>多功能酶标仪</w:t>
            </w:r>
          </w:p>
        </w:tc>
      </w:tr>
      <w:tr w14:paraId="2BD743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  <w:jc w:val="center"/>
        </w:trPr>
        <w:tc>
          <w:tcPr>
            <w:tcW w:w="2229" w:type="dxa"/>
            <w:gridSpan w:val="2"/>
            <w:vAlign w:val="center"/>
          </w:tcPr>
          <w:p w14:paraId="3EC3E87E">
            <w:pPr>
              <w:autoSpaceDE w:val="0"/>
              <w:autoSpaceDN w:val="0"/>
              <w:spacing w:line="520" w:lineRule="exact"/>
              <w:jc w:val="center"/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  <w:t>仪器设备外文名称</w:t>
            </w:r>
          </w:p>
        </w:tc>
        <w:tc>
          <w:tcPr>
            <w:tcW w:w="7401" w:type="dxa"/>
            <w:tcBorders>
              <w:right w:val="single" w:color="000000" w:sz="6" w:space="0"/>
            </w:tcBorders>
            <w:vAlign w:val="center"/>
          </w:tcPr>
          <w:p w14:paraId="7CBAF85F">
            <w:pPr>
              <w:autoSpaceDE w:val="0"/>
              <w:autoSpaceDN w:val="0"/>
              <w:spacing w:line="520" w:lineRule="exact"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  <w:t>Multimode microplate reader</w:t>
            </w:r>
          </w:p>
        </w:tc>
      </w:tr>
      <w:tr w14:paraId="02F5BD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  <w:jc w:val="center"/>
        </w:trPr>
        <w:tc>
          <w:tcPr>
            <w:tcW w:w="2229" w:type="dxa"/>
            <w:gridSpan w:val="2"/>
            <w:vAlign w:val="center"/>
          </w:tcPr>
          <w:p w14:paraId="5020A90B">
            <w:pPr>
              <w:autoSpaceDE w:val="0"/>
              <w:autoSpaceDN w:val="0"/>
              <w:spacing w:line="520" w:lineRule="exact"/>
              <w:jc w:val="center"/>
              <w:rPr>
                <w:rFonts w:hint="default"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lang w:val="en-US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lang w:val="en-US" w:eastAsia="en-US" w:bidi="zh-CN"/>
                <w14:textFill>
                  <w14:solidFill>
                    <w14:schemeClr w14:val="tx1"/>
                  </w14:solidFill>
                </w14:textFill>
              </w:rPr>
              <w:t>设备金额人民币</w:t>
            </w:r>
          </w:p>
        </w:tc>
        <w:tc>
          <w:tcPr>
            <w:tcW w:w="7401" w:type="dxa"/>
            <w:tcBorders>
              <w:right w:val="single" w:color="000000" w:sz="6" w:space="0"/>
            </w:tcBorders>
            <w:vAlign w:val="center"/>
          </w:tcPr>
          <w:p w14:paraId="2CDDB5D0">
            <w:pPr>
              <w:autoSpaceDE w:val="0"/>
              <w:autoSpaceDN w:val="0"/>
              <w:spacing w:line="520" w:lineRule="exact"/>
              <w:jc w:val="center"/>
              <w:rPr>
                <w:rFonts w:hint="default" w:cs="宋体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en-US" w:bidi="zh-CN"/>
                <w14:textFill>
                  <w14:solidFill>
                    <w14:schemeClr w14:val="tx1"/>
                  </w14:solidFill>
                </w14:textFill>
              </w:rPr>
              <w:t>41万元/台</w:t>
            </w:r>
          </w:p>
        </w:tc>
      </w:tr>
      <w:tr w14:paraId="4B65AC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  <w:jc w:val="center"/>
        </w:trPr>
        <w:tc>
          <w:tcPr>
            <w:tcW w:w="2229" w:type="dxa"/>
            <w:gridSpan w:val="2"/>
            <w:vAlign w:val="center"/>
          </w:tcPr>
          <w:p w14:paraId="254CA311">
            <w:pPr>
              <w:autoSpaceDE w:val="0"/>
              <w:autoSpaceDN w:val="0"/>
              <w:spacing w:line="520" w:lineRule="exact"/>
              <w:jc w:val="center"/>
              <w:rPr>
                <w:rFonts w:hint="default"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lang w:val="en-US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lang w:val="en-US" w:eastAsia="en-US" w:bidi="zh-CN"/>
                <w14:textFill>
                  <w14:solidFill>
                    <w14:schemeClr w14:val="tx1"/>
                  </w14:solidFill>
                </w14:textFill>
              </w:rPr>
              <w:t>申购学院</w:t>
            </w:r>
          </w:p>
        </w:tc>
        <w:tc>
          <w:tcPr>
            <w:tcW w:w="7401" w:type="dxa"/>
            <w:tcBorders>
              <w:right w:val="single" w:color="000000" w:sz="6" w:space="0"/>
            </w:tcBorders>
            <w:vAlign w:val="center"/>
          </w:tcPr>
          <w:p w14:paraId="1B40ADAB">
            <w:pPr>
              <w:autoSpaceDE w:val="0"/>
              <w:autoSpaceDN w:val="0"/>
              <w:spacing w:line="520" w:lineRule="exact"/>
              <w:jc w:val="center"/>
              <w:rPr>
                <w:rFonts w:hint="default" w:cs="宋体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en-US" w:bidi="zh-CN"/>
                <w14:textFill>
                  <w14:solidFill>
                    <w14:schemeClr w14:val="tx1"/>
                  </w14:solidFill>
                </w14:textFill>
              </w:rPr>
              <w:t>兽医学院</w:t>
            </w:r>
          </w:p>
        </w:tc>
      </w:tr>
      <w:tr w14:paraId="01FB35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  <w:jc w:val="center"/>
        </w:trPr>
        <w:tc>
          <w:tcPr>
            <w:tcW w:w="2229" w:type="dxa"/>
            <w:gridSpan w:val="2"/>
            <w:vAlign w:val="center"/>
          </w:tcPr>
          <w:p w14:paraId="793463B0">
            <w:pPr>
              <w:autoSpaceDE w:val="0"/>
              <w:autoSpaceDN w:val="0"/>
              <w:spacing w:line="520" w:lineRule="exact"/>
              <w:jc w:val="center"/>
              <w:rPr>
                <w:rFonts w:hint="default"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lang w:val="en-US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lang w:val="en-US" w:eastAsia="en-US" w:bidi="zh-CN"/>
                <w14:textFill>
                  <w14:solidFill>
                    <w14:schemeClr w14:val="tx1"/>
                  </w14:solidFill>
                </w14:textFill>
              </w:rPr>
              <w:t>申购结果</w:t>
            </w:r>
          </w:p>
        </w:tc>
        <w:tc>
          <w:tcPr>
            <w:tcW w:w="7401" w:type="dxa"/>
            <w:tcBorders>
              <w:right w:val="single" w:color="000000" w:sz="6" w:space="0"/>
            </w:tcBorders>
            <w:vAlign w:val="center"/>
          </w:tcPr>
          <w:p w14:paraId="4B20773E">
            <w:pPr>
              <w:autoSpaceDE w:val="0"/>
              <w:autoSpaceDN w:val="0"/>
              <w:spacing w:line="520" w:lineRule="exact"/>
              <w:jc w:val="center"/>
              <w:rPr>
                <w:rFonts w:hint="default" w:cs="宋体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en-US" w:bidi="zh-CN"/>
                <w14:textFill>
                  <w14:solidFill>
                    <w14:schemeClr w14:val="tx1"/>
                  </w14:solidFill>
                </w14:textFill>
              </w:rPr>
              <w:t>拟同意申购</w:t>
            </w:r>
          </w:p>
        </w:tc>
      </w:tr>
      <w:tr w14:paraId="555B41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1" w:hRule="atLeast"/>
          <w:jc w:val="center"/>
        </w:trPr>
        <w:tc>
          <w:tcPr>
            <w:tcW w:w="1118" w:type="dxa"/>
            <w:vAlign w:val="center"/>
          </w:tcPr>
          <w:p w14:paraId="42AF6A55">
            <w:pPr>
              <w:autoSpaceDE w:val="0"/>
              <w:autoSpaceDN w:val="0"/>
              <w:spacing w:line="520" w:lineRule="exact"/>
              <w:jc w:val="center"/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  <w:t>主要</w:t>
            </w:r>
          </w:p>
          <w:p w14:paraId="5E8F0E9A">
            <w:pPr>
              <w:autoSpaceDE w:val="0"/>
              <w:autoSpaceDN w:val="0"/>
              <w:spacing w:line="520" w:lineRule="exact"/>
              <w:jc w:val="center"/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  <w:t>技术</w:t>
            </w:r>
          </w:p>
          <w:p w14:paraId="31300DFA">
            <w:pPr>
              <w:autoSpaceDE w:val="0"/>
              <w:autoSpaceDN w:val="0"/>
              <w:spacing w:line="520" w:lineRule="exact"/>
              <w:jc w:val="center"/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</w:tc>
        <w:tc>
          <w:tcPr>
            <w:tcW w:w="8512" w:type="dxa"/>
            <w:gridSpan w:val="2"/>
            <w:tcBorders>
              <w:right w:val="single" w:color="000000" w:sz="6" w:space="0"/>
            </w:tcBorders>
            <w:vAlign w:val="center"/>
          </w:tcPr>
          <w:p w14:paraId="1B94F61B">
            <w:pPr>
              <w:autoSpaceDE w:val="0"/>
              <w:autoSpaceDN w:val="0"/>
              <w:spacing w:line="620" w:lineRule="exact"/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  <w:t>1.工作条件：温度：4-30℃，电压：100-240V，50/60Hz</w:t>
            </w:r>
          </w:p>
          <w:p w14:paraId="3CB22BD2">
            <w:pPr>
              <w:autoSpaceDE w:val="0"/>
              <w:autoSpaceDN w:val="0"/>
              <w:spacing w:line="620" w:lineRule="exact"/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  <w:t>2.仪器具备的检测功能：荧光顶板及底部检测，时间分辨荧光检测，发光检测，紫外/可见吸收光检测（基于光栅光路），荧光光谱扫描检测；且后续可升级为两套完全独立的光路系统：即滤光片光路系统，顶底部的四光栅检测光路系统。</w:t>
            </w:r>
          </w:p>
          <w:p w14:paraId="1A47F21B">
            <w:pPr>
              <w:autoSpaceDE w:val="0"/>
              <w:autoSpaceDN w:val="0"/>
              <w:spacing w:line="620" w:lineRule="exact"/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  <w:t>3.吸收光模式：3.1光源：高能量氙闪灯；</w:t>
            </w:r>
          </w:p>
          <w:p w14:paraId="551FAEFA">
            <w:pPr>
              <w:autoSpaceDE w:val="0"/>
              <w:autoSpaceDN w:val="0"/>
              <w:spacing w:line="620" w:lineRule="exact"/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  <w:t>3.2波长选择：连续波长双光栅，一次最多可进行6种波长测量；</w:t>
            </w:r>
          </w:p>
          <w:p w14:paraId="3B889D5D">
            <w:pPr>
              <w:autoSpaceDE w:val="0"/>
              <w:autoSpaceDN w:val="0"/>
              <w:spacing w:line="620" w:lineRule="exact"/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  <w:t>3.3波长范围：230-999 nm，1 nm 步进；</w:t>
            </w:r>
          </w:p>
          <w:p w14:paraId="0309CBE2">
            <w:pPr>
              <w:autoSpaceDE w:val="0"/>
              <w:autoSpaceDN w:val="0"/>
              <w:spacing w:line="620" w:lineRule="exact"/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  <w:t>3.4检测范围：0－4.000OD；</w:t>
            </w:r>
          </w:p>
          <w:p w14:paraId="29DF6170">
            <w:pPr>
              <w:autoSpaceDE w:val="0"/>
              <w:autoSpaceDN w:val="0"/>
              <w:spacing w:line="620" w:lineRule="exact"/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  <w:t>3.5分辨率：0.0001OD</w:t>
            </w:r>
          </w:p>
          <w:p w14:paraId="79A9D257">
            <w:pPr>
              <w:autoSpaceDE w:val="0"/>
              <w:autoSpaceDN w:val="0"/>
              <w:spacing w:line="620" w:lineRule="exact"/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  <w:t>4.荧光检测功能顶部检测模式：4.1双光栅单色器灵敏度：2.5 pM 荧光素（0.25 fmol/孔384孔板）；</w:t>
            </w:r>
          </w:p>
          <w:p w14:paraId="02F73D7C">
            <w:pPr>
              <w:autoSpaceDE w:val="0"/>
              <w:autoSpaceDN w:val="0"/>
              <w:spacing w:line="620" w:lineRule="exact"/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  <w:t>4.2荧光检测器：PMT 检测（光子整合PMT）；</w:t>
            </w:r>
          </w:p>
          <w:p w14:paraId="61FE647C">
            <w:pPr>
              <w:autoSpaceDE w:val="0"/>
              <w:autoSpaceDN w:val="0"/>
              <w:spacing w:line="620" w:lineRule="exact"/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  <w:t>4.3光栅带宽9-50nm连续可调</w:t>
            </w:r>
          </w:p>
          <w:p w14:paraId="7761C9DA">
            <w:pPr>
              <w:autoSpaceDE w:val="0"/>
              <w:autoSpaceDN w:val="0"/>
              <w:spacing w:line="620" w:lineRule="exact"/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  <w:t>5.吸收光检测模块具有光路径长度校正功能，可将微孔板光路径长度转化为标准的1cm光路径长度，校正误差，无须标准曲线即可准确定量。</w:t>
            </w:r>
          </w:p>
          <w:p w14:paraId="7D89BB1C">
            <w:pPr>
              <w:autoSpaceDE w:val="0"/>
              <w:autoSpaceDN w:val="0"/>
              <w:spacing w:line="620" w:lineRule="exact"/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  <w:t>6.发光模式：6.1发光检测模式：闪光、辉光、发光扫描BRET等；</w:t>
            </w:r>
          </w:p>
          <w:p w14:paraId="27DC1862">
            <w:pPr>
              <w:autoSpaceDE w:val="0"/>
              <w:autoSpaceDN w:val="0"/>
              <w:spacing w:line="620" w:lineRule="exact"/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  <w:t>6.2发光检测灵敏度：（ATP）：光栅系统20 amol /孔 ATP闪光分析（96孔）；</w:t>
            </w:r>
          </w:p>
          <w:p w14:paraId="41A04124">
            <w:pPr>
              <w:autoSpaceDE w:val="0"/>
              <w:autoSpaceDN w:val="0"/>
              <w:spacing w:line="620" w:lineRule="exact"/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  <w:t>7.跳跃加样及检测：可对孔板内任意孔实现跳跃加样及检测；</w:t>
            </w:r>
          </w:p>
          <w:p w14:paraId="3BEFDE3E">
            <w:pPr>
              <w:autoSpaceDE w:val="0"/>
              <w:autoSpaceDN w:val="0"/>
              <w:spacing w:line="620" w:lineRule="exact"/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  <w:t xml:space="preserve">8.设定高度调整方式：自动Z轴调整，≤0.1mm步进孔域扫描方式：可进行高精度孔域扫描，最多可选99×99点矩阵扫描，并可根据样品形状选择扫描区域大小，扫描结果可以一键导出至Excel表格，并可根据扫描结果给出模拟热感图。 </w:t>
            </w:r>
          </w:p>
          <w:p w14:paraId="7C2DB408">
            <w:pPr>
              <w:autoSpaceDE w:val="0"/>
              <w:autoSpaceDN w:val="0"/>
              <w:spacing w:line="620" w:lineRule="exact"/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  <w:t>9.检测速度：96孔≤11秒，384孔≤22秒；</w:t>
            </w:r>
          </w:p>
          <w:p w14:paraId="00608A00">
            <w:pPr>
              <w:autoSpaceDE w:val="0"/>
              <w:autoSpaceDN w:val="0"/>
              <w:spacing w:line="620" w:lineRule="exact"/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  <w:t>10.检测震荡模式：线性，轨道，双轨道；</w:t>
            </w:r>
          </w:p>
          <w:p w14:paraId="129AD57B">
            <w:pPr>
              <w:autoSpaceDE w:val="0"/>
              <w:autoSpaceDN w:val="0"/>
              <w:spacing w:line="620" w:lineRule="exact"/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  <w:t>11.孔板类型：兼容6、12、24、48、96、384孔标准平底、圆底及V-型底微孔板，及16通道或48通道的超微量检测板，并可进行加盖检测；</w:t>
            </w:r>
          </w:p>
          <w:p w14:paraId="58FC7AFE">
            <w:pPr>
              <w:autoSpaceDE w:val="0"/>
              <w:autoSpaceDN w:val="0"/>
              <w:spacing w:line="620" w:lineRule="exact"/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  <w:t xml:space="preserve">12.温度控制范围：环境以上4℃至70℃，温度偏差±0.5℃。顶底部存在温度梯度差，可较好防止冷凝水产生。 </w:t>
            </w:r>
          </w:p>
          <w:p w14:paraId="69074A07">
            <w:pPr>
              <w:autoSpaceDE w:val="0"/>
              <w:autoSpaceDN w:val="0"/>
              <w:spacing w:line="620" w:lineRule="exact"/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  <w:t>13.线性范围：荧光≥7个数量级，发光≥6个数量级，具有动态扩展功能；</w:t>
            </w:r>
          </w:p>
          <w:p w14:paraId="57AFE634">
            <w:pPr>
              <w:autoSpaceDE w:val="0"/>
              <w:autoSpaceDN w:val="0"/>
              <w:spacing w:line="620" w:lineRule="exact"/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  <w:t>14.孔板移动延迟时间：0-2550ms，有效降低孔板移动产生波动对数据检测所产生的影响；单点数据检测次数：1-255次/单个数据点，提高数据检测稳定性。检测器：光子整合PMT，可手动调整或自动调整PMT增益。</w:t>
            </w:r>
          </w:p>
          <w:p w14:paraId="121F35CE">
            <w:pPr>
              <w:autoSpaceDE w:val="0"/>
              <w:autoSpaceDN w:val="0"/>
              <w:spacing w:line="620" w:lineRule="exact"/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  <w:t xml:space="preserve">15.软件功能要求：15.1可自动切换检测模式； </w:t>
            </w:r>
          </w:p>
          <w:p w14:paraId="525FDC4D">
            <w:pPr>
              <w:autoSpaceDE w:val="0"/>
              <w:autoSpaceDN w:val="0"/>
              <w:spacing w:line="620" w:lineRule="exact"/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  <w:t xml:space="preserve">15.2可自动绘制标准曲线； </w:t>
            </w:r>
          </w:p>
          <w:p w14:paraId="42936637">
            <w:pPr>
              <w:autoSpaceDE w:val="0"/>
              <w:autoSpaceDN w:val="0"/>
              <w:spacing w:line="620" w:lineRule="exact"/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  <w:t>15.3可进行数据追踪并对单孔或多孔进行程序编辑；</w:t>
            </w:r>
          </w:p>
          <w:p w14:paraId="2BC52991">
            <w:pPr>
              <w:autoSpaceDE w:val="0"/>
              <w:autoSpaceDN w:val="0"/>
              <w:spacing w:line="620" w:lineRule="exact"/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  <w:t>15.4可对原始数据进行运算。可进行自动背景扣除、根据标准曲线自动运算样品浓度、可运算动力学反应速率、可进行EC50、3D扫描和Z-Prime等统计学分析。</w:t>
            </w:r>
          </w:p>
          <w:p w14:paraId="45D8747F">
            <w:pPr>
              <w:autoSpaceDE w:val="0"/>
              <w:autoSpaceDN w:val="0"/>
              <w:spacing w:line="620" w:lineRule="exact"/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  <w:t>16.配置要求：16.1多功能酶标仪主机1台（内置紫外-可见连续波长吸收光模块、荧光顶板及底板模块、荧光光谱扫描模块、化学发光模块、时间分辨荧光模块、温控震荡模块）</w:t>
            </w:r>
          </w:p>
          <w:p w14:paraId="1BF9F74B">
            <w:pPr>
              <w:autoSpaceDE w:val="0"/>
              <w:autoSpaceDN w:val="0"/>
              <w:spacing w:line="620" w:lineRule="exact"/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  <w:t>16.2 16通道超微量检测板1套</w:t>
            </w:r>
          </w:p>
          <w:p w14:paraId="5F90B2D7">
            <w:pPr>
              <w:autoSpaceDE w:val="0"/>
              <w:autoSpaceDN w:val="0"/>
              <w:spacing w:line="620" w:lineRule="exact"/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  <w:t>16.3中文软件1套及全面的仪器使用说明书 1份</w:t>
            </w:r>
          </w:p>
          <w:p w14:paraId="4D29BD98">
            <w:pPr>
              <w:autoSpaceDE w:val="0"/>
              <w:autoSpaceDN w:val="0"/>
              <w:spacing w:line="620" w:lineRule="exact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  <w:t>16.4工作站1套</w:t>
            </w:r>
          </w:p>
        </w:tc>
      </w:tr>
      <w:tr w14:paraId="2E2066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5" w:hRule="atLeast"/>
          <w:jc w:val="center"/>
        </w:trPr>
        <w:tc>
          <w:tcPr>
            <w:tcW w:w="1118" w:type="dxa"/>
            <w:vAlign w:val="center"/>
          </w:tcPr>
          <w:p w14:paraId="28F5E17A">
            <w:pPr>
              <w:autoSpaceDE w:val="0"/>
              <w:autoSpaceDN w:val="0"/>
              <w:spacing w:line="520" w:lineRule="exact"/>
              <w:jc w:val="center"/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  <w:t>主要</w:t>
            </w:r>
          </w:p>
          <w:p w14:paraId="7BD7DBC9">
            <w:pPr>
              <w:autoSpaceDE w:val="0"/>
              <w:autoSpaceDN w:val="0"/>
              <w:spacing w:line="520" w:lineRule="exact"/>
              <w:jc w:val="center"/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  <w:t>功能</w:t>
            </w:r>
          </w:p>
        </w:tc>
        <w:tc>
          <w:tcPr>
            <w:tcW w:w="8512" w:type="dxa"/>
            <w:gridSpan w:val="2"/>
            <w:tcBorders>
              <w:right w:val="single" w:color="000000" w:sz="6" w:space="0"/>
            </w:tcBorders>
            <w:vAlign w:val="center"/>
          </w:tcPr>
          <w:p w14:paraId="23179F63">
            <w:pPr>
              <w:autoSpaceDE w:val="0"/>
              <w:autoSpaceDN w:val="0"/>
              <w:spacing w:line="520" w:lineRule="exact"/>
              <w:ind w:firstLine="480" w:firstLineChars="200"/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  <w:t>多功能酶标仪是科学研究中不可或缺的研究工具，应用主要分吸收光检测，荧光检测和发光检测、荧光能量共振转移等三大方面，实验者可依据不同的实验检测手段选择不同功能的多功能酶标仪。单一的酶标功能已经很难满足实验者的实验要求，很多实验室是吸收光，荧光和发光都要使用。而近几年在药物开发、生物材料相关研究等需要用到多功能酶标仪更高级的功能，因此只测OD值的吸收光酶标仪已无法满足科室的实验应用，荧光和化学发光等高级检测功能对于平台来讲也是不可或缺的。</w:t>
            </w:r>
          </w:p>
          <w:p w14:paraId="5C4A6C0F">
            <w:pPr>
              <w:autoSpaceDE w:val="0"/>
              <w:autoSpaceDN w:val="0"/>
              <w:spacing w:line="520" w:lineRule="exact"/>
              <w:ind w:firstLine="480" w:firstLineChars="200"/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  <w:t>从各种论文、论著等相关资料中可以看到，随着新技术和新的分析手段的发展以及微孔板制式的不断变化，多功能酶标仪已经成为一种强有力的研究工具。</w:t>
            </w:r>
          </w:p>
        </w:tc>
      </w:tr>
      <w:tr w14:paraId="5CA800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118" w:type="dxa"/>
            <w:vAlign w:val="center"/>
          </w:tcPr>
          <w:p w14:paraId="2BFB8C75">
            <w:pPr>
              <w:autoSpaceDE w:val="0"/>
              <w:autoSpaceDN w:val="0"/>
              <w:spacing w:line="520" w:lineRule="exact"/>
              <w:jc w:val="center"/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  <w:t>应用</w:t>
            </w:r>
          </w:p>
          <w:p w14:paraId="6C48375F">
            <w:pPr>
              <w:autoSpaceDE w:val="0"/>
              <w:autoSpaceDN w:val="0"/>
              <w:spacing w:line="520" w:lineRule="exact"/>
              <w:jc w:val="center"/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  <w:t>范围</w:t>
            </w:r>
          </w:p>
        </w:tc>
        <w:tc>
          <w:tcPr>
            <w:tcW w:w="8512" w:type="dxa"/>
            <w:gridSpan w:val="2"/>
            <w:tcBorders>
              <w:right w:val="single" w:color="000000" w:sz="6" w:space="0"/>
            </w:tcBorders>
            <w:vAlign w:val="center"/>
          </w:tcPr>
          <w:p w14:paraId="298133AB">
            <w:pPr>
              <w:autoSpaceDE w:val="0"/>
              <w:autoSpaceDN w:val="0"/>
              <w:spacing w:line="520" w:lineRule="exact"/>
              <w:ind w:firstLine="480" w:firstLineChars="200"/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  <w:t>目前多功能酶标仪的应用非常广泛，可以开展分子生物学、细胞学领域的各类研究。在食品和药品检测中，多功能酶标仪具有十分重要的作用。其中ELISA/酶学动力学检测、荧光PicoGreen精确DNA分析、化学发光毒性检测、细胞活性/酶活性/细胞毒性检测等，在药物检测中应用十分广泛，其中有很多药典规定的检测方法，必须要多功能酶标仪来完成。因此，我们平台急需一台这种具有多个功能的酶标仪。</w:t>
            </w:r>
          </w:p>
        </w:tc>
      </w:tr>
      <w:tr w14:paraId="4557A7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8" w:hRule="atLeast"/>
          <w:jc w:val="center"/>
        </w:trPr>
        <w:tc>
          <w:tcPr>
            <w:tcW w:w="1118" w:type="dxa"/>
            <w:vAlign w:val="center"/>
          </w:tcPr>
          <w:p w14:paraId="341CF055">
            <w:pPr>
              <w:autoSpaceDE w:val="0"/>
              <w:autoSpaceDN w:val="0"/>
              <w:spacing w:line="520" w:lineRule="exact"/>
              <w:jc w:val="center"/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  <w:t>共享</w:t>
            </w:r>
          </w:p>
          <w:p w14:paraId="553CC91D">
            <w:pPr>
              <w:autoSpaceDE w:val="0"/>
              <w:autoSpaceDN w:val="0"/>
              <w:spacing w:line="520" w:lineRule="exact"/>
              <w:jc w:val="center"/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  <w:t>学科</w:t>
            </w:r>
          </w:p>
        </w:tc>
        <w:tc>
          <w:tcPr>
            <w:tcW w:w="8512" w:type="dxa"/>
            <w:gridSpan w:val="2"/>
            <w:tcBorders>
              <w:right w:val="single" w:color="000000" w:sz="6" w:space="0"/>
            </w:tcBorders>
            <w:vAlign w:val="center"/>
          </w:tcPr>
          <w:p w14:paraId="17FC4E61">
            <w:pPr>
              <w:autoSpaceDE w:val="0"/>
              <w:autoSpaceDN w:val="0"/>
              <w:spacing w:line="520" w:lineRule="exact"/>
              <w:ind w:firstLine="480" w:firstLineChars="200"/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  <w:t>细胞生物学、分子生物学、农学、林学、环境科学、食品科学、畜牧兽医学、材料科学与工程、化学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eastAsia="en-US" w:bidi="zh-CN"/>
                <w14:textFill>
                  <w14:solidFill>
                    <w14:schemeClr w14:val="tx1"/>
                  </w14:solidFill>
                </w14:textFill>
              </w:rPr>
              <w:t>等学科领域。</w:t>
            </w:r>
          </w:p>
        </w:tc>
      </w:tr>
      <w:bookmarkEnd w:id="0"/>
    </w:tbl>
    <w:p w14:paraId="471D386F">
      <w:pPr>
        <w:widowControl/>
        <w:spacing w:line="520" w:lineRule="exact"/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1" w:name="_GoBack"/>
      <w:bookmarkEnd w:id="1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0EC057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63319A">
                          <w:pPr>
                            <w:pStyle w:val="7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63319A">
                    <w:pPr>
                      <w:pStyle w:val="7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C0EB14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wMGEwMDJiZTk0YmQ5MWFiMmViMzRkZWYxNGYyYWQifQ=="/>
  </w:docVars>
  <w:rsids>
    <w:rsidRoot w:val="00E26EEF"/>
    <w:rsid w:val="000061C2"/>
    <w:rsid w:val="0001197C"/>
    <w:rsid w:val="00016D51"/>
    <w:rsid w:val="00021AFF"/>
    <w:rsid w:val="000261FC"/>
    <w:rsid w:val="00035A5B"/>
    <w:rsid w:val="00036137"/>
    <w:rsid w:val="000404C5"/>
    <w:rsid w:val="00046598"/>
    <w:rsid w:val="00070F16"/>
    <w:rsid w:val="0007300E"/>
    <w:rsid w:val="00073D4A"/>
    <w:rsid w:val="00077241"/>
    <w:rsid w:val="00085252"/>
    <w:rsid w:val="000A0ED6"/>
    <w:rsid w:val="000B0A66"/>
    <w:rsid w:val="000C43EB"/>
    <w:rsid w:val="000D0BAB"/>
    <w:rsid w:val="000E5F22"/>
    <w:rsid w:val="000F0D45"/>
    <w:rsid w:val="000F3EB3"/>
    <w:rsid w:val="000F54E5"/>
    <w:rsid w:val="00111248"/>
    <w:rsid w:val="00127EA5"/>
    <w:rsid w:val="00133C25"/>
    <w:rsid w:val="0013449F"/>
    <w:rsid w:val="00161717"/>
    <w:rsid w:val="00184DBE"/>
    <w:rsid w:val="00191D65"/>
    <w:rsid w:val="001964B5"/>
    <w:rsid w:val="001A37C1"/>
    <w:rsid w:val="001B0335"/>
    <w:rsid w:val="001B30DE"/>
    <w:rsid w:val="001B4472"/>
    <w:rsid w:val="001B4607"/>
    <w:rsid w:val="001B6D60"/>
    <w:rsid w:val="001E1BEA"/>
    <w:rsid w:val="001E3754"/>
    <w:rsid w:val="00200327"/>
    <w:rsid w:val="00231E5A"/>
    <w:rsid w:val="00253FB3"/>
    <w:rsid w:val="002576CE"/>
    <w:rsid w:val="00257A5B"/>
    <w:rsid w:val="00263913"/>
    <w:rsid w:val="00264CCE"/>
    <w:rsid w:val="00273736"/>
    <w:rsid w:val="00280449"/>
    <w:rsid w:val="0029545C"/>
    <w:rsid w:val="002B08A0"/>
    <w:rsid w:val="002B256D"/>
    <w:rsid w:val="002B3673"/>
    <w:rsid w:val="002E51A4"/>
    <w:rsid w:val="002F27D9"/>
    <w:rsid w:val="002F27DE"/>
    <w:rsid w:val="002F2B16"/>
    <w:rsid w:val="002F34DE"/>
    <w:rsid w:val="00302633"/>
    <w:rsid w:val="003027E1"/>
    <w:rsid w:val="00303D63"/>
    <w:rsid w:val="003214F7"/>
    <w:rsid w:val="00324825"/>
    <w:rsid w:val="00331C34"/>
    <w:rsid w:val="003329F5"/>
    <w:rsid w:val="0034303C"/>
    <w:rsid w:val="00355FB3"/>
    <w:rsid w:val="003577B2"/>
    <w:rsid w:val="00391EAE"/>
    <w:rsid w:val="003B42DF"/>
    <w:rsid w:val="003B783D"/>
    <w:rsid w:val="003C4D99"/>
    <w:rsid w:val="003C59DF"/>
    <w:rsid w:val="003C73E5"/>
    <w:rsid w:val="003D1653"/>
    <w:rsid w:val="003E5FC2"/>
    <w:rsid w:val="003F175F"/>
    <w:rsid w:val="00410DBA"/>
    <w:rsid w:val="00421B62"/>
    <w:rsid w:val="004518B9"/>
    <w:rsid w:val="0046185D"/>
    <w:rsid w:val="004637E6"/>
    <w:rsid w:val="00466EDF"/>
    <w:rsid w:val="00467278"/>
    <w:rsid w:val="00482C04"/>
    <w:rsid w:val="0048373D"/>
    <w:rsid w:val="004864A7"/>
    <w:rsid w:val="004A79A4"/>
    <w:rsid w:val="004C3144"/>
    <w:rsid w:val="004C7098"/>
    <w:rsid w:val="004D1D3B"/>
    <w:rsid w:val="004E4754"/>
    <w:rsid w:val="004F3CF9"/>
    <w:rsid w:val="005005C0"/>
    <w:rsid w:val="00521E0F"/>
    <w:rsid w:val="005223AC"/>
    <w:rsid w:val="005455F7"/>
    <w:rsid w:val="00565BE3"/>
    <w:rsid w:val="00585417"/>
    <w:rsid w:val="005918D1"/>
    <w:rsid w:val="00593333"/>
    <w:rsid w:val="00596C6F"/>
    <w:rsid w:val="005A360F"/>
    <w:rsid w:val="005A54A9"/>
    <w:rsid w:val="005A7EE8"/>
    <w:rsid w:val="005B1720"/>
    <w:rsid w:val="005B5AE1"/>
    <w:rsid w:val="005C3650"/>
    <w:rsid w:val="005D2DF5"/>
    <w:rsid w:val="005F1037"/>
    <w:rsid w:val="005F1735"/>
    <w:rsid w:val="006009DC"/>
    <w:rsid w:val="00621017"/>
    <w:rsid w:val="0063615B"/>
    <w:rsid w:val="00636207"/>
    <w:rsid w:val="006473DC"/>
    <w:rsid w:val="00666809"/>
    <w:rsid w:val="00671AEB"/>
    <w:rsid w:val="00676044"/>
    <w:rsid w:val="006A7CBF"/>
    <w:rsid w:val="006B1E86"/>
    <w:rsid w:val="006D11A2"/>
    <w:rsid w:val="006D492A"/>
    <w:rsid w:val="006E1574"/>
    <w:rsid w:val="006E267A"/>
    <w:rsid w:val="006E3111"/>
    <w:rsid w:val="006E554A"/>
    <w:rsid w:val="006F1915"/>
    <w:rsid w:val="00715619"/>
    <w:rsid w:val="00715FAB"/>
    <w:rsid w:val="0074252F"/>
    <w:rsid w:val="00751394"/>
    <w:rsid w:val="0077790C"/>
    <w:rsid w:val="0078516A"/>
    <w:rsid w:val="00786644"/>
    <w:rsid w:val="007A5430"/>
    <w:rsid w:val="007A5E7A"/>
    <w:rsid w:val="007B0C7A"/>
    <w:rsid w:val="007B0F53"/>
    <w:rsid w:val="007C3955"/>
    <w:rsid w:val="007C3E58"/>
    <w:rsid w:val="007C7ECC"/>
    <w:rsid w:val="007D55DC"/>
    <w:rsid w:val="007E17FD"/>
    <w:rsid w:val="007E2FD4"/>
    <w:rsid w:val="007F0427"/>
    <w:rsid w:val="008007D0"/>
    <w:rsid w:val="00800839"/>
    <w:rsid w:val="00801B5D"/>
    <w:rsid w:val="008149CF"/>
    <w:rsid w:val="00814EE1"/>
    <w:rsid w:val="00816481"/>
    <w:rsid w:val="00832129"/>
    <w:rsid w:val="00835F62"/>
    <w:rsid w:val="0084037C"/>
    <w:rsid w:val="00854AB1"/>
    <w:rsid w:val="0086235D"/>
    <w:rsid w:val="00864CFD"/>
    <w:rsid w:val="008660D6"/>
    <w:rsid w:val="00867B14"/>
    <w:rsid w:val="00880BBF"/>
    <w:rsid w:val="00882873"/>
    <w:rsid w:val="00892AD8"/>
    <w:rsid w:val="00892EF0"/>
    <w:rsid w:val="008975F8"/>
    <w:rsid w:val="00897F60"/>
    <w:rsid w:val="008A6AA0"/>
    <w:rsid w:val="008C45F9"/>
    <w:rsid w:val="008D0E65"/>
    <w:rsid w:val="008D2676"/>
    <w:rsid w:val="008E0200"/>
    <w:rsid w:val="008E1123"/>
    <w:rsid w:val="008E135D"/>
    <w:rsid w:val="009177AD"/>
    <w:rsid w:val="0093651D"/>
    <w:rsid w:val="00936602"/>
    <w:rsid w:val="009447CB"/>
    <w:rsid w:val="0096120B"/>
    <w:rsid w:val="00985130"/>
    <w:rsid w:val="009A61EF"/>
    <w:rsid w:val="009E75E6"/>
    <w:rsid w:val="009F3143"/>
    <w:rsid w:val="00A14E00"/>
    <w:rsid w:val="00A248A1"/>
    <w:rsid w:val="00A358F2"/>
    <w:rsid w:val="00A447CF"/>
    <w:rsid w:val="00A646F1"/>
    <w:rsid w:val="00A64C23"/>
    <w:rsid w:val="00A709BF"/>
    <w:rsid w:val="00A70E20"/>
    <w:rsid w:val="00A80992"/>
    <w:rsid w:val="00A81EE3"/>
    <w:rsid w:val="00A91786"/>
    <w:rsid w:val="00A928DE"/>
    <w:rsid w:val="00AA0B21"/>
    <w:rsid w:val="00AA2C47"/>
    <w:rsid w:val="00AC10EE"/>
    <w:rsid w:val="00AC7F0F"/>
    <w:rsid w:val="00AD0D96"/>
    <w:rsid w:val="00AD436F"/>
    <w:rsid w:val="00AE350A"/>
    <w:rsid w:val="00AE73A7"/>
    <w:rsid w:val="00B014BC"/>
    <w:rsid w:val="00B129DD"/>
    <w:rsid w:val="00B15418"/>
    <w:rsid w:val="00B208CC"/>
    <w:rsid w:val="00B42359"/>
    <w:rsid w:val="00B459D5"/>
    <w:rsid w:val="00B46738"/>
    <w:rsid w:val="00B53757"/>
    <w:rsid w:val="00B75634"/>
    <w:rsid w:val="00B760A7"/>
    <w:rsid w:val="00B800FC"/>
    <w:rsid w:val="00B91184"/>
    <w:rsid w:val="00B94A57"/>
    <w:rsid w:val="00BA5563"/>
    <w:rsid w:val="00BA7998"/>
    <w:rsid w:val="00BB25A2"/>
    <w:rsid w:val="00BB35D6"/>
    <w:rsid w:val="00BD5CBA"/>
    <w:rsid w:val="00C00C16"/>
    <w:rsid w:val="00C407ED"/>
    <w:rsid w:val="00C43A8B"/>
    <w:rsid w:val="00C6734E"/>
    <w:rsid w:val="00C71C04"/>
    <w:rsid w:val="00C7653C"/>
    <w:rsid w:val="00C866AC"/>
    <w:rsid w:val="00C95447"/>
    <w:rsid w:val="00CB139B"/>
    <w:rsid w:val="00CB44F9"/>
    <w:rsid w:val="00CD7415"/>
    <w:rsid w:val="00CE2B1B"/>
    <w:rsid w:val="00CE4BD0"/>
    <w:rsid w:val="00CF0914"/>
    <w:rsid w:val="00CF22AF"/>
    <w:rsid w:val="00CF71B2"/>
    <w:rsid w:val="00D01C7C"/>
    <w:rsid w:val="00D15424"/>
    <w:rsid w:val="00D324D1"/>
    <w:rsid w:val="00D352EA"/>
    <w:rsid w:val="00D57A7D"/>
    <w:rsid w:val="00D60843"/>
    <w:rsid w:val="00D731EC"/>
    <w:rsid w:val="00D87C45"/>
    <w:rsid w:val="00DA0924"/>
    <w:rsid w:val="00DA1DD0"/>
    <w:rsid w:val="00DC1213"/>
    <w:rsid w:val="00DC25E4"/>
    <w:rsid w:val="00DC4533"/>
    <w:rsid w:val="00DC50E5"/>
    <w:rsid w:val="00DD55F8"/>
    <w:rsid w:val="00DE6D3D"/>
    <w:rsid w:val="00E014B0"/>
    <w:rsid w:val="00E26EEF"/>
    <w:rsid w:val="00E377EE"/>
    <w:rsid w:val="00E41037"/>
    <w:rsid w:val="00E4263A"/>
    <w:rsid w:val="00E42722"/>
    <w:rsid w:val="00E43260"/>
    <w:rsid w:val="00E646AA"/>
    <w:rsid w:val="00E82138"/>
    <w:rsid w:val="00E825F3"/>
    <w:rsid w:val="00E84713"/>
    <w:rsid w:val="00E85A32"/>
    <w:rsid w:val="00EB54A7"/>
    <w:rsid w:val="00EC0B32"/>
    <w:rsid w:val="00ED02B1"/>
    <w:rsid w:val="00EF5149"/>
    <w:rsid w:val="00F04AF4"/>
    <w:rsid w:val="00F10700"/>
    <w:rsid w:val="00F43232"/>
    <w:rsid w:val="00F664FB"/>
    <w:rsid w:val="00F670BC"/>
    <w:rsid w:val="00F85653"/>
    <w:rsid w:val="00F867C8"/>
    <w:rsid w:val="00F95715"/>
    <w:rsid w:val="00F9778D"/>
    <w:rsid w:val="00FB2327"/>
    <w:rsid w:val="00FC53A3"/>
    <w:rsid w:val="00FC5E6D"/>
    <w:rsid w:val="00FE3592"/>
    <w:rsid w:val="00FF4893"/>
    <w:rsid w:val="00FF55A9"/>
    <w:rsid w:val="033C0E47"/>
    <w:rsid w:val="03B3407B"/>
    <w:rsid w:val="0DC93B4F"/>
    <w:rsid w:val="106A053B"/>
    <w:rsid w:val="1562171D"/>
    <w:rsid w:val="1562694A"/>
    <w:rsid w:val="1BB31B29"/>
    <w:rsid w:val="1C5F4898"/>
    <w:rsid w:val="218E17A2"/>
    <w:rsid w:val="24985948"/>
    <w:rsid w:val="32905BA8"/>
    <w:rsid w:val="33434A22"/>
    <w:rsid w:val="35347AF1"/>
    <w:rsid w:val="36E92386"/>
    <w:rsid w:val="4083672D"/>
    <w:rsid w:val="40E35E83"/>
    <w:rsid w:val="471C0252"/>
    <w:rsid w:val="47C21F11"/>
    <w:rsid w:val="4EA86138"/>
    <w:rsid w:val="5232126B"/>
    <w:rsid w:val="538D6447"/>
    <w:rsid w:val="54D97359"/>
    <w:rsid w:val="57857675"/>
    <w:rsid w:val="5E70660C"/>
    <w:rsid w:val="6D3836D1"/>
    <w:rsid w:val="76841EFC"/>
    <w:rsid w:val="7FF0793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before="240" w:after="24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3"/>
    <w:unhideWhenUsed/>
    <w:qFormat/>
    <w:uiPriority w:val="9"/>
    <w:pPr>
      <w:keepNext/>
      <w:keepLines/>
      <w:spacing w:before="140" w:after="14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4"/>
    <w:unhideWhenUsed/>
    <w:qFormat/>
    <w:uiPriority w:val="9"/>
    <w:pPr>
      <w:keepNext/>
      <w:keepLines/>
      <w:spacing w:before="140" w:after="14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7"/>
    <w:qFormat/>
    <w:uiPriority w:val="0"/>
    <w:pPr>
      <w:keepNext/>
      <w:keepLines/>
      <w:spacing w:line="360" w:lineRule="auto"/>
      <w:jc w:val="center"/>
      <w:outlineLvl w:val="3"/>
    </w:pPr>
    <w:rPr>
      <w:rFonts w:hAnsi="Arial" w:cs="Times New Roman" w:asciiTheme="majorEastAsia" w:eastAsiaTheme="majorEastAsia"/>
      <w:b/>
      <w:bCs/>
      <w:sz w:val="24"/>
      <w:szCs w:val="28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26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itle"/>
    <w:basedOn w:val="1"/>
    <w:link w:val="15"/>
    <w:qFormat/>
    <w:uiPriority w:val="0"/>
    <w:pPr>
      <w:jc w:val="center"/>
    </w:pPr>
    <w:rPr>
      <w:sz w:val="30"/>
      <w:szCs w:val="24"/>
    </w:rPr>
  </w:style>
  <w:style w:type="character" w:customStyle="1" w:styleId="12">
    <w:name w:val="标题 1 字符"/>
    <w:basedOn w:val="11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3">
    <w:name w:val="标题 2 字符"/>
    <w:basedOn w:val="11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4">
    <w:name w:val="标题 3 字符"/>
    <w:basedOn w:val="11"/>
    <w:link w:val="4"/>
    <w:qFormat/>
    <w:uiPriority w:val="9"/>
    <w:rPr>
      <w:b/>
      <w:bCs/>
      <w:sz w:val="32"/>
      <w:szCs w:val="32"/>
    </w:rPr>
  </w:style>
  <w:style w:type="character" w:customStyle="1" w:styleId="15">
    <w:name w:val="标题 字符"/>
    <w:link w:val="9"/>
    <w:qFormat/>
    <w:uiPriority w:val="0"/>
    <w:rPr>
      <w:sz w:val="30"/>
      <w:szCs w:val="24"/>
    </w:rPr>
  </w:style>
  <w:style w:type="paragraph" w:customStyle="1" w:styleId="16">
    <w:name w:val="宋四一级"/>
    <w:qFormat/>
    <w:uiPriority w:val="0"/>
    <w:pPr>
      <w:spacing w:line="360" w:lineRule="auto"/>
      <w:outlineLvl w:val="0"/>
    </w:pPr>
    <w:rPr>
      <w:rFonts w:ascii="Calibri" w:hAnsi="Calibri" w:eastAsia="宋体" w:cs="Times New Roman"/>
      <w:kern w:val="2"/>
      <w:sz w:val="28"/>
      <w:szCs w:val="22"/>
      <w:lang w:val="en-US" w:eastAsia="zh-CN" w:bidi="ar-SA"/>
    </w:rPr>
  </w:style>
  <w:style w:type="character" w:customStyle="1" w:styleId="17">
    <w:name w:val="标题 4 字符"/>
    <w:basedOn w:val="11"/>
    <w:link w:val="5"/>
    <w:qFormat/>
    <w:uiPriority w:val="0"/>
    <w:rPr>
      <w:rFonts w:hAnsi="Arial" w:cs="Times New Roman" w:asciiTheme="majorEastAsia" w:eastAsiaTheme="majorEastAsia"/>
      <w:b/>
      <w:bCs/>
      <w:sz w:val="24"/>
      <w:szCs w:val="28"/>
    </w:rPr>
  </w:style>
  <w:style w:type="character" w:customStyle="1" w:styleId="18">
    <w:name w:val="页眉 字符"/>
    <w:basedOn w:val="11"/>
    <w:link w:val="8"/>
    <w:qFormat/>
    <w:uiPriority w:val="99"/>
    <w:rPr>
      <w:sz w:val="18"/>
      <w:szCs w:val="18"/>
    </w:rPr>
  </w:style>
  <w:style w:type="character" w:customStyle="1" w:styleId="19">
    <w:name w:val="页脚 字符"/>
    <w:basedOn w:val="11"/>
    <w:link w:val="7"/>
    <w:qFormat/>
    <w:uiPriority w:val="99"/>
    <w:rPr>
      <w:sz w:val="18"/>
      <w:szCs w:val="18"/>
    </w:rPr>
  </w:style>
  <w:style w:type="table" w:customStyle="1" w:styleId="20">
    <w:name w:val="Table Normal"/>
    <w:semiHidden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Table Normal1"/>
    <w:semiHidden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2">
    <w:name w:val="Table Paragraph"/>
    <w:basedOn w:val="1"/>
    <w:qFormat/>
    <w:uiPriority w:val="1"/>
    <w:pPr>
      <w:autoSpaceDE w:val="0"/>
      <w:autoSpaceDN w:val="0"/>
    </w:pPr>
    <w:rPr>
      <w:rFonts w:ascii="宋体" w:hAnsi="宋体" w:eastAsia="宋体" w:cs="宋体"/>
      <w:kern w:val="0"/>
      <w:sz w:val="22"/>
      <w:lang w:val="zh-CN" w:bidi="zh-CN"/>
    </w:rPr>
  </w:style>
  <w:style w:type="table" w:customStyle="1" w:styleId="23">
    <w:name w:val="Table Normal2"/>
    <w:semiHidden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4">
    <w:name w:val="Table Normal3"/>
    <w:semiHidden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5">
    <w:name w:val="List Paragraph"/>
    <w:basedOn w:val="1"/>
    <w:qFormat/>
    <w:uiPriority w:val="34"/>
    <w:pPr>
      <w:ind w:firstLine="420" w:firstLineChars="200"/>
    </w:pPr>
  </w:style>
  <w:style w:type="character" w:customStyle="1" w:styleId="26">
    <w:name w:val="批注框文本 字符"/>
    <w:basedOn w:val="11"/>
    <w:link w:val="6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2187</Words>
  <Characters>2460</Characters>
  <Lines>37</Lines>
  <Paragraphs>10</Paragraphs>
  <TotalTime>64</TotalTime>
  <ScaleCrop>false</ScaleCrop>
  <LinksUpToDate>false</LinksUpToDate>
  <CharactersWithSpaces>2670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2021-03-11T02:22:00Z</dcterms:created>
  <dc:creator>Tristan</dc:creator>
  <cp:lastModifiedBy>梁生</cp:lastModifiedBy>
  <cp:lastPrinted>2021-03-05T04:20:00Z</cp:lastPrinted>
  <dcterms:modified xsi:type="dcterms:W3CDTF">2026-09-10T03:48:18Z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0A8669743C88410A9E0BC70AA761A14E_13</vt:lpwstr>
  </property>
  <property fmtid="{D5CDD505-2E9C-101B-9397-08002B2CF9AE}" pid="4" name="KSOTemplateDocerSaveRecord">
    <vt:lpwstr>eyJoZGlkIjoiZjYwMGEwMDJiZTk0YmQ5MWFiMmViMzRkZWYxNGYyYWQiLCJ1c2VySWQiOiIxNjk2OTk1MzY0In0=</vt:lpwstr>
  </property>
</Properties>
</file>