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F6C69">
      <w:pPr>
        <w:autoSpaceDE w:val="0"/>
        <w:autoSpaceDN w:val="0"/>
        <w:spacing w:line="520" w:lineRule="exact"/>
        <w:jc w:val="both"/>
        <w:rPr>
          <w:rFonts w:hint="eastAsia" w:cs="宋体" w:asciiTheme="minorEastAsia" w:hAnsiTheme="minorEastAsia"/>
          <w:b/>
          <w:color w:val="000000" w:themeColor="text1"/>
          <w:kern w:val="0"/>
          <w:sz w:val="28"/>
          <w:szCs w:val="28"/>
          <w:lang w:val="zh-CN" w:eastAsia="en-US" w:bidi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28"/>
          <w:szCs w:val="28"/>
          <w:lang w:val="zh-CN" w:eastAsia="en-US" w:bidi="zh-CN"/>
          <w14:textFill>
            <w14:solidFill>
              <w14:schemeClr w14:val="tx1"/>
            </w14:solidFill>
          </w14:textFill>
        </w:rPr>
        <w:t>真空烧结炉</w:t>
      </w:r>
    </w:p>
    <w:p w14:paraId="700657E4">
      <w:pPr>
        <w:autoSpaceDE w:val="0"/>
        <w:autoSpaceDN w:val="0"/>
        <w:spacing w:line="520" w:lineRule="exact"/>
        <w:jc w:val="both"/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6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111"/>
        <w:gridCol w:w="7401"/>
      </w:tblGrid>
      <w:tr w14:paraId="2939D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29" w:type="dxa"/>
            <w:gridSpan w:val="2"/>
            <w:vAlign w:val="center"/>
          </w:tcPr>
          <w:p w14:paraId="0C355079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 w:val="0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仪器设备中文名称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 w14:paraId="745CDA91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 w:val="0"/>
                <w:color w:val="000000" w:themeColor="text1"/>
                <w:kern w:val="0"/>
                <w:sz w:val="24"/>
                <w:szCs w:val="24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真空烧结炉</w:t>
            </w:r>
          </w:p>
        </w:tc>
      </w:tr>
      <w:tr w14:paraId="7B07B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 w14:paraId="2B16A9F5"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b w:val="0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预算金额人民币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 w14:paraId="1F82E13D"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75万元/台</w:t>
            </w:r>
          </w:p>
        </w:tc>
      </w:tr>
      <w:tr w14:paraId="575F9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 w14:paraId="72198347"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申购学院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 w14:paraId="0A314380"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材料与能源学院</w:t>
            </w:r>
          </w:p>
        </w:tc>
      </w:tr>
      <w:tr w14:paraId="1E25B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 w14:paraId="17050969"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申购结果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 w14:paraId="4110C6AD"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拟同意申购</w:t>
            </w:r>
          </w:p>
        </w:tc>
      </w:tr>
      <w:tr w14:paraId="5D985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  <w:jc w:val="center"/>
        </w:trPr>
        <w:tc>
          <w:tcPr>
            <w:tcW w:w="1118" w:type="dxa"/>
            <w:vAlign w:val="center"/>
          </w:tcPr>
          <w:p w14:paraId="65FFD7C3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 w:val="0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23052FA1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 w:val="0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 w14:paraId="1900FA86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 w:val="0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8512" w:type="dxa"/>
            <w:gridSpan w:val="2"/>
            <w:tcBorders>
              <w:right w:val="single" w:color="000000" w:sz="6" w:space="0"/>
            </w:tcBorders>
            <w:vAlign w:val="center"/>
          </w:tcPr>
          <w:p w14:paraId="5597A1A6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最高工作温度：1550℃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5213546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额定功率：120kw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6057B58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发热体材质：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镧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钼合金；</w:t>
            </w:r>
          </w:p>
          <w:p w14:paraId="2B59D2A9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工作区尺寸：600*300*300mm（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长*宽*高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 w14:paraId="2FF36241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炉温均匀性：±5℃；</w:t>
            </w:r>
          </w:p>
          <w:p w14:paraId="270D2EAF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冷态极限真空度：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7E-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Pa；</w:t>
            </w:r>
          </w:p>
          <w:p w14:paraId="3FC4A599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压升率：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0.67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Pa/h；</w:t>
            </w:r>
          </w:p>
          <w:p w14:paraId="7611B6FF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可通入正压惰性保护气体（氮气、氩气）；</w:t>
            </w:r>
          </w:p>
          <w:p w14:paraId="20A63B5E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控温精度±1℃；</w:t>
            </w:r>
          </w:p>
          <w:p w14:paraId="244039D3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10、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金属钼载料箱体；</w:t>
            </w:r>
          </w:p>
          <w:p w14:paraId="4EF721BA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11、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炉体结构：卧式水冷结构，炉膛可移动维护；</w:t>
            </w:r>
          </w:p>
          <w:p w14:paraId="79D5C0BF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12、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具备强制快速冷却功能；</w:t>
            </w:r>
          </w:p>
          <w:p w14:paraId="185059F9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13、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加热控温系统具备超温、断偶、冷却水缺水、电机过载报警及保护功能，确保系统安全可靠运行。</w:t>
            </w:r>
          </w:p>
        </w:tc>
      </w:tr>
      <w:tr w14:paraId="47B5C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1118" w:type="dxa"/>
            <w:vAlign w:val="center"/>
          </w:tcPr>
          <w:p w14:paraId="398A0FA2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 w:val="0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00869259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 w:val="0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功能</w:t>
            </w:r>
          </w:p>
        </w:tc>
        <w:tc>
          <w:tcPr>
            <w:tcW w:w="8512" w:type="dxa"/>
            <w:gridSpan w:val="2"/>
            <w:tcBorders>
              <w:right w:val="single" w:color="000000" w:sz="6" w:space="0"/>
            </w:tcBorders>
            <w:vAlign w:val="center"/>
          </w:tcPr>
          <w:p w14:paraId="45A9014D">
            <w:pPr>
              <w:numPr>
                <w:ilvl w:val="0"/>
                <w:numId w:val="1"/>
              </w:num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对粉体或经过压制后的坯体进行真空环境下烧结热处理；</w:t>
            </w:r>
          </w:p>
          <w:p w14:paraId="7FA3BDD0">
            <w:pPr>
              <w:numPr>
                <w:ilvl w:val="0"/>
                <w:numId w:val="1"/>
              </w:num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对粉体或坯体在真空状态下进行退火、还原等进行热处理。</w:t>
            </w:r>
          </w:p>
        </w:tc>
      </w:tr>
      <w:tr w14:paraId="30394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  <w:jc w:val="center"/>
        </w:trPr>
        <w:tc>
          <w:tcPr>
            <w:tcW w:w="1118" w:type="dxa"/>
            <w:vAlign w:val="center"/>
          </w:tcPr>
          <w:p w14:paraId="24A7C0DA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 w:val="0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应用</w:t>
            </w:r>
          </w:p>
          <w:p w14:paraId="529E20B1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 w:val="0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8512" w:type="dxa"/>
            <w:gridSpan w:val="2"/>
            <w:tcBorders>
              <w:right w:val="single" w:color="000000" w:sz="6" w:space="0"/>
            </w:tcBorders>
            <w:vAlign w:val="center"/>
          </w:tcPr>
          <w:p w14:paraId="17591AAB">
            <w:pPr>
              <w:numPr>
                <w:ilvl w:val="0"/>
                <w:numId w:val="2"/>
              </w:num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对钛基粉末冶金零件烧结处理；</w:t>
            </w:r>
          </w:p>
          <w:p w14:paraId="5060C8F8">
            <w:pPr>
              <w:numPr>
                <w:ilvl w:val="0"/>
                <w:numId w:val="2"/>
              </w:num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对高比重合金粉末冶金零件烧结处理；</w:t>
            </w:r>
          </w:p>
          <w:p w14:paraId="2C0AAA70">
            <w:pPr>
              <w:numPr>
                <w:ilvl w:val="0"/>
                <w:numId w:val="2"/>
              </w:num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对不锈钢粉末冶金零件烧结处理。</w:t>
            </w:r>
          </w:p>
        </w:tc>
      </w:tr>
    </w:tbl>
    <w:p w14:paraId="65005582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3360AD"/>
    <w:multiLevelType w:val="singleLevel"/>
    <w:tmpl w:val="D63360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74A7E3"/>
    <w:multiLevelType w:val="singleLevel"/>
    <w:tmpl w:val="DA74A7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E6"/>
    <w:rsid w:val="00046721"/>
    <w:rsid w:val="001C1899"/>
    <w:rsid w:val="00C334E6"/>
    <w:rsid w:val="00E4197A"/>
    <w:rsid w:val="00F5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</w:pPr>
    <w:rPr>
      <w:rFonts w:asciiTheme="minorHAnsi" w:hAnsiTheme="minorHAnsi" w:eastAsiaTheme="minorEastAsia" w:cstheme="minorBidi"/>
      <w:snapToGrid/>
      <w:spacing w:val="0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Theme="minorHAnsi" w:hAnsiTheme="minorHAnsi" w:eastAsiaTheme="minorEastAsia" w:cstheme="minorBidi"/>
      <w:snapToGrid/>
      <w:spacing w:val="0"/>
      <w:kern w:val="0"/>
      <w:sz w:val="22"/>
      <w:szCs w:val="20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Table Normal1"/>
    <w:semiHidden/>
    <w:unhideWhenUsed/>
    <w:qFormat/>
    <w:uiPriority w:val="2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Theme="minorHAnsi" w:hAnsiTheme="minorHAnsi" w:eastAsiaTheme="minorEastAsia" w:cstheme="minorBidi"/>
      <w:snapToGrid/>
      <w:spacing w:val="0"/>
      <w:kern w:val="0"/>
      <w:sz w:val="22"/>
      <w:szCs w:val="20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Paragraph"/>
    <w:basedOn w:val="1"/>
    <w:qFormat/>
    <w:uiPriority w:val="1"/>
    <w:pPr>
      <w:autoSpaceDE w:val="0"/>
      <w:autoSpaceDN w:val="0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539</Words>
  <Characters>574</Characters>
  <Lines>5</Lines>
  <Paragraphs>1</Paragraphs>
  <TotalTime>4</TotalTime>
  <ScaleCrop>false</ScaleCrop>
  <LinksUpToDate>false</LinksUpToDate>
  <CharactersWithSpaces>596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2024-11-08T03:27:00Z</dcterms:created>
  <dc:creator>Administrator</dc:creator>
  <cp:lastModifiedBy>Administrator</cp:lastModifiedBy>
  <dcterms:modified xsi:type="dcterms:W3CDTF">2024-11-08T07:04:17Z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963B3ED06423407A9CE7DDE589B9E3FC_13</vt:lpwstr>
  </property>
</Properties>
</file>