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Theme="minorEastAsia" w:hAnsiTheme="minorEastAsia" w:eastAsiaTheme="minorEastAsia"/>
          <w:color w:val="000000" w:themeColor="text1"/>
          <w:sz w:val="30"/>
          <w:szCs w:val="30"/>
          <w:lang w:val="en-US" w:eastAsia="zh-CN"/>
          <w14:textFill>
            <w14:solidFill>
              <w14:schemeClr w14:val="tx1"/>
            </w14:solidFill>
          </w14:textFill>
        </w:rPr>
      </w:pPr>
      <w:bookmarkStart w:id="0" w:name="_Hlk66111534"/>
      <w:r>
        <w:rPr>
          <w:rFonts w:hint="eastAsia" w:asciiTheme="minorEastAsia" w:hAnsiTheme="minorEastAsia"/>
          <w:color w:val="000000" w:themeColor="text1"/>
          <w:sz w:val="30"/>
          <w:szCs w:val="30"/>
          <w:lang w:val="en-US" w:eastAsia="zh-CN"/>
          <w14:textFill>
            <w14:solidFill>
              <w14:schemeClr w14:val="tx1"/>
            </w14:solidFill>
          </w14:textFill>
        </w:rPr>
        <w:t>附件：1、</w:t>
      </w:r>
      <w:r>
        <w:rPr>
          <w:rFonts w:hint="eastAsia" w:cs="宋体" w:asciiTheme="minorEastAsia" w:hAnsiTheme="minorEastAsia"/>
          <w:b/>
          <w:color w:val="000000" w:themeColor="text1"/>
          <w:kern w:val="0"/>
          <w:sz w:val="24"/>
          <w:szCs w:val="24"/>
          <w:lang w:eastAsia="en-US" w:bidi="zh-CN"/>
          <w14:textFill>
            <w14:solidFill>
              <w14:schemeClr w14:val="tx1"/>
            </w14:solidFill>
          </w14:textFill>
        </w:rPr>
        <w:t>酶标仪</w:t>
      </w:r>
    </w:p>
    <w:p>
      <w:pPr>
        <w:widowControl/>
        <w:spacing w:line="520" w:lineRule="exact"/>
        <w:rPr>
          <w:rFonts w:asciiTheme="minorEastAsia" w:hAnsiTheme="minorEastAsia"/>
          <w:color w:val="000000" w:themeColor="text1"/>
          <w:sz w:val="30"/>
          <w:szCs w:val="30"/>
          <w14:textFill>
            <w14:solidFill>
              <w14:schemeClr w14:val="tx1"/>
            </w14:solidFill>
          </w14:textFill>
        </w:rPr>
      </w:pPr>
    </w:p>
    <w:tbl>
      <w:tblPr>
        <w:tblStyle w:val="21"/>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eastAsia="en-US" w:bidi="zh-CN"/>
                <w14:textFill>
                  <w14:solidFill>
                    <w14:schemeClr w14:val="tx1"/>
                  </w14:solidFill>
                </w14:textFill>
              </w:rPr>
            </w:pPr>
            <w:r>
              <w:rPr>
                <w:rFonts w:hint="eastAsia" w:cs="宋体" w:asciiTheme="minorEastAsia" w:hAnsiTheme="minorEastAsia"/>
                <w:b/>
                <w:color w:val="000000" w:themeColor="text1"/>
                <w:kern w:val="0"/>
                <w:sz w:val="24"/>
                <w:szCs w:val="24"/>
                <w:lang w:eastAsia="en-US" w:bidi="zh-CN"/>
                <w14:textFill>
                  <w14:solidFill>
                    <w14:schemeClr w14:val="tx1"/>
                  </w14:solidFill>
                </w14:textFill>
              </w:rPr>
              <w:t>酶标仪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color w:val="000000" w:themeColor="text1"/>
                <w:kern w:val="0"/>
                <w:sz w:val="24"/>
                <w:szCs w:val="24"/>
                <w:lang w:val="zh-CN" w:eastAsia="en-US" w:bidi="zh-CN"/>
                <w14:textFill>
                  <w14:solidFill>
                    <w14:schemeClr w14:val="tx1"/>
                  </w14:solidFill>
                </w14:textFill>
              </w:rPr>
              <w:t>Multi Function Measuring Instrument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kern w:val="0"/>
                <w:sz w:val="24"/>
                <w:szCs w:val="24"/>
                <w:lang w:val="zh-CN" w:eastAsia="en-US" w:bidi="zh-CN"/>
              </w:rPr>
            </w:pPr>
            <w:r>
              <w:rPr>
                <w:rFonts w:hint="eastAsia" w:ascii="宋体" w:hAnsi="宋体" w:eastAsia="宋体" w:cs="宋体"/>
                <w:b/>
                <w:bCs/>
                <w:i w:val="0"/>
                <w:iCs w:val="0"/>
                <w:color w:val="000000"/>
                <w:kern w:val="0"/>
                <w:sz w:val="22"/>
                <w:szCs w:val="22"/>
                <w:u w:val="none"/>
                <w:lang w:val="en-US" w:eastAsia="zh-CN" w:bidi="ar"/>
              </w:rPr>
              <w:t>39万元/台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动物科学学院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eastAsia" w:cs="宋体" w:asciiTheme="minorEastAsia" w:hAnsiTheme="minorEastAsia" w:eastAsia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1、常规指标</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1、1检测功能：支持光吸收、荧光(FRET)、化学发光(辉光和闪光)；</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1、2检测模式包括：终点法、动力学、光谱扫描、孔内扫描和动力学光谱扫描；</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1、3光谱扫描支持：光吸收、荧光、化学发光的全光谱扫描；</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1、4光路设计：包括四光栅光路和滤光片光路双系统；</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1、5光源：高能氙闪灯、新型LED光源；</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1、6检测器：不少于3个，光电二极管（光吸收），红外敏感PMT（荧光），暗电流光子计数PMT（化学发光）；</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1、7孵育器：温控范围室温+4℃-45℃，准确性±0.5℃；</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1、8振荡器：圆周振荡，时间、速度和半径可调；</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2、光吸收检测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2、1波长范围：200 - 1000 nm；</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2、2检测器：光电二极管(PDT)；</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2、3读数范围：0–6 Abs；精确度：SD&lt;0.001 Abs或CV&lt;0.5%；</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2、4线性范围：0–4 Abs，在450 nm, ±2% (96孔板)；</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3、荧光检测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3、1四光栅光路设计，激发双光栅和发射双光栅；</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3、2波长范围：激发200-1000 nm，发射270-840 nm；</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3、3激发带宽≤5nm；荧光动态范围：≥6个数量级，PMT增益四档自动调节；</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3、4 荧光检测灵敏度：≤0.4 fmol 荧光素/孔；</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4、化学发光</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4、1独立化学发光模块，支持滤光片式化学发光和发光光谱扫描；</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4、2同时支持辉光和闪光两种发光反应类型；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4、3化学发光灵敏度：≤7 amol ATP/孔；化学发光动态范围：≥7个数量级，PMT增益三档自动调节；</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4、4检测器：独立暗电流光量子计数PMT，可对微弱光信号进行高灵敏探测；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5、高级分析软件：</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5、1仪器控制和高级分析功能二合一，至少包含中文、英文、西班牙语多种语言选择设置；</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5、2实时显示运行结果，一键选择列表、板布局等多种直观数据显示方式。一键输出 excel 表格，支持报告email 发送，支持 xls, pdf, txt and xml 格式导出报告；</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5、3智能化安全监控设置，测量数据自动保存，断电后恢复，分液位置及分液量错误报警等；</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5、4软件可控制仪器进板出板、孵育、震荡以及内置自动分液器的冲洗、分液操作，可实现同步分液和信号测量功能，满足多步骤快速动力学反应的需要；</w:t>
            </w:r>
          </w:p>
          <w:p>
            <w:pPr>
              <w:tabs>
                <w:tab w:val="left" w:pos="5028"/>
              </w:tabs>
              <w:autoSpaceDE w:val="0"/>
              <w:autoSpaceDN w:val="0"/>
              <w:spacing w:line="360" w:lineRule="auto"/>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kern w:val="0"/>
                <w:szCs w:val="21"/>
                <w:lang w:val="zh-CN" w:eastAsia="zh-CN" w:bidi="zh-CN"/>
              </w:rPr>
              <w:t>5、5可自定义Blank subtraction, Curve Fit, Cut-Off 等计算模式；自动孔间光程校准；数据测量及分析过程可包括：扣减本底、定量曲线拟合，动力学计算，临界值分析和质控等；自动保存标准曲线。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对6-384孔微孔板中的样品产生的光信号进行检测，这些样品的光学特性是生物、化学、生化或物理反应的结果。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光吸收功能可应用于酶活性实验，蛋白浓度测定、核酸浓度测定、ELISA、细胞增殖和凋亡、动力学检测、内毒素检测、细菌生长曲线测定；</w:t>
            </w:r>
          </w:p>
          <w:p>
            <w:pPr>
              <w:autoSpaceDE w:val="0"/>
              <w:autoSpaceDN w:val="0"/>
              <w:spacing w:line="520" w:lineRule="exact"/>
              <w:ind w:firstLine="480" w:firstLineChars="200"/>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荧光/发光的应用包括：细胞增殖和细胞凋亡；细胞毒性；信号转导；分子间作用；核酸蛋白的定量检测；色氨酸荧光；酶动力学分析；多标记检测；细胞内Ca 检测、报告基因检测、荧光蛋白标记物检测、蛋白间相互作用分析、ATP检测、细胞毒性检测、细胞跨膜蛋白检测、蛋白定量、核酸定量及酶学、免疫分析等重要生物/生化基础学研究；</w:t>
            </w:r>
          </w:p>
          <w:p>
            <w:pPr>
              <w:autoSpaceDE w:val="0"/>
              <w:autoSpaceDN w:val="0"/>
              <w:spacing w:line="520" w:lineRule="exact"/>
              <w:ind w:firstLine="480" w:firstLineChars="200"/>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由于该仪器功能多，灵敏度高、涉及检测面广，可以作为实验分析平台。</w:t>
            </w:r>
          </w:p>
        </w:tc>
      </w:tr>
      <w:bookmarkEnd w:id="0"/>
    </w:tbl>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p>
      <w:pPr>
        <w:widowControl/>
        <w:spacing w:line="520" w:lineRule="exact"/>
        <w:ind w:firstLine="482"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附件：2、</w:t>
      </w:r>
      <w:r>
        <w:rPr>
          <w:rFonts w:hint="eastAsia" w:cs="宋体" w:asciiTheme="minorEastAsia" w:hAnsiTheme="minorEastAsia"/>
          <w:b/>
          <w:bCs/>
          <w:color w:val="000000" w:themeColor="text1"/>
          <w:kern w:val="0"/>
          <w:sz w:val="24"/>
          <w:szCs w:val="24"/>
          <w:lang w:val="zh-CN" w:eastAsia="en-US" w:bidi="zh-CN"/>
          <w14:textFill>
            <w14:solidFill>
              <w14:schemeClr w14:val="tx1"/>
            </w14:solidFill>
          </w14:textFill>
        </w:rPr>
        <w:t>超声破碎仪</w:t>
      </w:r>
    </w:p>
    <w:tbl>
      <w:tblPr>
        <w:tblStyle w:val="21"/>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en-US" w:bidi="zh-CN"/>
                <w14:textFill>
                  <w14:solidFill>
                    <w14:schemeClr w14:val="tx1"/>
                  </w14:solidFill>
                </w14:textFill>
              </w:rPr>
              <w:t>超声破碎仪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color w:val="000000" w:themeColor="text1"/>
                <w:kern w:val="0"/>
                <w:sz w:val="24"/>
                <w:szCs w:val="24"/>
                <w:lang w:val="zh-CN" w:eastAsia="en-US" w:bidi="zh-CN"/>
                <w14:textFill>
                  <w14:solidFill>
                    <w14:schemeClr w14:val="tx1"/>
                  </w14:solidFill>
                </w14:textFill>
              </w:rPr>
              <w:t>Ultrasonic crusher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39万元/台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动物科学学院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1、样本破碎方式：利用 ACT (Adaptive Cavitation Transfer) 超声波样本破碎技术, 核酸样本破碎范围1kb~ 150bp; 染色质样本破碎范围1kb~ 200bp</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w:t>
            </w:r>
            <w:r>
              <w:rPr>
                <w:rFonts w:hint="eastAsia" w:cs="宋体" w:asciiTheme="minorEastAsia" w:hAnsiTheme="minorEastAsia"/>
                <w:kern w:val="0"/>
                <w:szCs w:val="21"/>
                <w:lang w:val="zh-CN" w:eastAsia="zh-CN" w:bidi="zh-CN"/>
              </w:rPr>
              <w:t>、六国语音提示功能, 仪器使用时会自动语音提醒超声进程，多彩LED进程显示。</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3</w:t>
            </w:r>
            <w:r>
              <w:rPr>
                <w:rFonts w:hint="eastAsia" w:cs="宋体" w:asciiTheme="minorEastAsia" w:hAnsiTheme="minorEastAsia"/>
                <w:kern w:val="0"/>
                <w:szCs w:val="21"/>
                <w:lang w:val="zh-CN" w:eastAsia="zh-CN" w:bidi="zh-CN"/>
              </w:rPr>
              <w:t>、行样本破碎时适配器自动定速持续旋转, 确保所有样本破碎效果达到一致. 具备开盖暂停功能, 仪器上盖掀开时超声与适配器旋转马达均自动暂停, 确保用户与仪器安全</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4</w:t>
            </w:r>
            <w:r>
              <w:rPr>
                <w:rFonts w:hint="eastAsia" w:cs="宋体" w:asciiTheme="minorEastAsia" w:hAnsiTheme="minorEastAsia"/>
                <w:kern w:val="0"/>
                <w:szCs w:val="21"/>
                <w:lang w:val="zh-CN" w:eastAsia="zh-CN" w:bidi="zh-CN"/>
              </w:rPr>
              <w:t>、具简易与进阶两种超声模式, 均可设定超声时间, 暂停时间, 超声次数, 进阶模式尚可设定五种不同超声频率, 并可记忆12组不同超声条件</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5</w:t>
            </w:r>
            <w:r>
              <w:rPr>
                <w:rFonts w:hint="eastAsia" w:cs="宋体" w:asciiTheme="minorEastAsia" w:hAnsiTheme="minorEastAsia"/>
                <w:kern w:val="0"/>
                <w:szCs w:val="21"/>
                <w:lang w:val="zh-CN" w:eastAsia="zh-CN" w:bidi="zh-CN"/>
              </w:rPr>
              <w:t>、仪器内设chromatin shearing, DNA shearing简易操作方法, 方便随时查找, 也具备不同超声管建议加样体积与浓度指南</w:t>
            </w:r>
          </w:p>
          <w:p>
            <w:pPr>
              <w:tabs>
                <w:tab w:val="left" w:pos="5028"/>
              </w:tabs>
              <w:autoSpaceDE w:val="0"/>
              <w:autoSpaceDN w:val="0"/>
              <w:spacing w:line="360" w:lineRule="auto"/>
              <w:rPr>
                <w:rFonts w:eastAsia="宋体" w:cstheme="minorHAnsi"/>
                <w:sz w:val="20"/>
                <w:szCs w:val="20"/>
                <w:lang w:eastAsia="zh-CN"/>
              </w:rPr>
            </w:pPr>
            <w:r>
              <w:rPr>
                <w:rFonts w:hint="eastAsia" w:cs="宋体" w:asciiTheme="minorEastAsia" w:hAnsiTheme="minorEastAsia"/>
                <w:kern w:val="0"/>
                <w:szCs w:val="21"/>
                <w:lang w:eastAsia="zh-CN" w:bidi="zh-CN"/>
              </w:rPr>
              <w:t>6</w:t>
            </w:r>
            <w:r>
              <w:rPr>
                <w:rFonts w:hint="eastAsia" w:cs="宋体" w:asciiTheme="minorEastAsia" w:hAnsiTheme="minorEastAsia"/>
                <w:kern w:val="0"/>
                <w:szCs w:val="21"/>
                <w:lang w:val="zh-CN" w:eastAsia="zh-CN" w:bidi="zh-CN"/>
              </w:rPr>
              <w:t>、电磁阀式冷却循环机, 可与超声波主机连动, 当超声波启动时, 冷却系统暂停循环, 超声波暂停时, 冷却系统启动, 不干扰超声效率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tabs>
                <w:tab w:val="left" w:pos="5028"/>
              </w:tabs>
              <w:autoSpaceDE w:val="0"/>
              <w:autoSpaceDN w:val="0"/>
              <w:spacing w:line="360" w:lineRule="auto"/>
              <w:ind w:firstLine="420" w:firstLineChars="200"/>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表观遗传学(Epigenetics)是近年来本国及欧美国家火红的研究课题, 其中染色质免疫共沉淀实验(ChIP assay)与DNA甲基化实验(MeDIP assay), 是表观遗传学研究中最常用的技术以及研究方向，这些实验过程中, 其最关键步骤即为打断染色质或基因组DNA，且要求断裂的片段大小均一性与重复性要求极高。又随着二代测序技术及仪器长足的发展, 将ChIP, MeDIP实验结果进行测序, 分析实验结果的文章也越来越多, 其中测序实验对样本质量, 样本处理通量及样本清洁度的要求更加严格. 因此选择一台能同时满足表观遗传学样本破碎以及测序样本处理的仪器, 是本实验室目前的主要任务。进口产品与国际接轨，能够准确的借鉴各个论文的实验参数，减少试错成本。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tabs>
                <w:tab w:val="left" w:pos="5028"/>
              </w:tabs>
              <w:autoSpaceDE w:val="0"/>
              <w:autoSpaceDN w:val="0"/>
              <w:spacing w:line="360" w:lineRule="auto"/>
              <w:ind w:firstLine="420" w:firstLineChars="200"/>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组织破碎和均质化、 代谢物和总蛋白提取、DNA片段化、RNA提取、纳米颗粒形成---微粉化、染色质剪切、细胞、孢子和细胞器裂解、化合物溶解和制备、配方设计、药物的吸收、分布、代谢、排泄/毒物提取等。</w:t>
            </w:r>
          </w:p>
        </w:tc>
      </w:tr>
    </w:tbl>
    <w:p>
      <w:pPr>
        <w:widowControl/>
        <w:spacing w:line="520" w:lineRule="exact"/>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附件：3、</w:t>
      </w:r>
      <w:r>
        <w:rPr>
          <w:rFonts w:hint="eastAsia" w:ascii="宋体" w:hAnsi="宋体" w:cs="宋体"/>
          <w:b/>
          <w:bCs/>
          <w:color w:val="000000"/>
          <w:kern w:val="0"/>
          <w:sz w:val="24"/>
          <w:szCs w:val="24"/>
          <w:lang w:val="zh-CN" w:eastAsia="en-US" w:bidi="zh-CN"/>
        </w:rPr>
        <w:t xml:space="preserve">实时荧光定量PCR  </w:t>
      </w:r>
    </w:p>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tbl>
      <w:tblPr>
        <w:tblStyle w:val="21"/>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ascii="宋体" w:hAnsi="宋体" w:cs="宋体"/>
                <w:b/>
                <w:color w:val="000000"/>
                <w:kern w:val="0"/>
                <w:sz w:val="24"/>
                <w:szCs w:val="24"/>
                <w:lang w:val="zh-CN" w:eastAsia="en-US" w:bidi="zh-CN"/>
              </w:rPr>
              <w:t xml:space="preserve">实时荧光定量PCR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ascii="宋体" w:hAnsi="宋体" w:cs="宋体"/>
                <w:color w:val="000000"/>
                <w:kern w:val="0"/>
                <w:sz w:val="24"/>
                <w:szCs w:val="24"/>
                <w:lang w:val="zh-CN" w:eastAsia="en-US" w:bidi="zh-CN"/>
              </w:rPr>
              <w:t>Real-Time</w:t>
            </w:r>
            <w:r>
              <w:rPr>
                <w:rFonts w:ascii="宋体" w:hAnsi="宋体" w:cs="宋体"/>
                <w:color w:val="000000"/>
                <w:kern w:val="0"/>
                <w:sz w:val="24"/>
                <w:szCs w:val="24"/>
                <w:lang w:val="zh-CN" w:eastAsia="en-US" w:bidi="zh-CN"/>
              </w:rPr>
              <w:t xml:space="preserve"> </w:t>
            </w:r>
            <w:r>
              <w:rPr>
                <w:rFonts w:hint="eastAsia" w:ascii="宋体" w:hAnsi="宋体" w:cs="宋体"/>
                <w:color w:val="000000"/>
                <w:kern w:val="0"/>
                <w:sz w:val="24"/>
                <w:szCs w:val="24"/>
                <w:lang w:val="zh-CN" w:eastAsia="en-US" w:bidi="zh-CN"/>
              </w:rPr>
              <w:t>PCR</w:t>
            </w:r>
            <w:r>
              <w:rPr>
                <w:rFonts w:ascii="宋体" w:hAnsi="宋体" w:cs="宋体"/>
                <w:color w:val="000000"/>
                <w:kern w:val="0"/>
                <w:sz w:val="24"/>
                <w:szCs w:val="24"/>
                <w:lang w:val="zh-CN" w:eastAsia="en-US" w:bidi="zh-CN"/>
              </w:rPr>
              <w:t xml:space="preserve"> </w:t>
            </w:r>
            <w:r>
              <w:rPr>
                <w:rFonts w:hint="eastAsia" w:ascii="宋体" w:hAnsi="宋体" w:cs="宋体"/>
                <w:color w:val="000000"/>
                <w:kern w:val="0"/>
                <w:sz w:val="24"/>
                <w:szCs w:val="24"/>
                <w:lang w:val="zh-CN" w:eastAsia="en-US" w:bidi="zh-CN"/>
              </w:rPr>
              <w:t>Instrument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72万元/台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动物科学学院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w:t>
            </w:r>
            <w:r>
              <w:rPr>
                <w:rFonts w:hint="eastAsia" w:cs="宋体" w:asciiTheme="minorEastAsia" w:hAnsiTheme="minorEastAsia"/>
                <w:kern w:val="0"/>
                <w:szCs w:val="21"/>
                <w:lang w:val="zh-CN" w:eastAsia="zh-CN" w:bidi="zh-CN"/>
              </w:rPr>
              <w:t>、主要功能：能够完成绝对定量、相对定量、基于 MGB 探针的高成功率 SNP 分析和熔解曲线分析；</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w:t>
            </w:r>
            <w:r>
              <w:rPr>
                <w:rFonts w:hint="eastAsia" w:cs="宋体" w:asciiTheme="minorEastAsia" w:hAnsiTheme="minorEastAsia"/>
                <w:kern w:val="0"/>
                <w:szCs w:val="21"/>
                <w:lang w:val="zh-CN" w:eastAsia="zh-CN" w:bidi="zh-CN"/>
              </w:rPr>
              <w:t>、热循环采用帕尔贴效应系统，加热冷却方式为半导体；</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3</w:t>
            </w:r>
            <w:r>
              <w:rPr>
                <w:rFonts w:hint="eastAsia" w:cs="宋体" w:asciiTheme="minorEastAsia" w:hAnsiTheme="minorEastAsia"/>
                <w:kern w:val="0"/>
                <w:szCs w:val="21"/>
                <w:lang w:val="zh-CN" w:eastAsia="zh-CN" w:bidi="zh-CN"/>
              </w:rPr>
              <w:t>、温度控制范围：4–99.9℃；</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4</w:t>
            </w:r>
            <w:r>
              <w:rPr>
                <w:rFonts w:hint="eastAsia" w:cs="宋体" w:asciiTheme="minorEastAsia" w:hAnsiTheme="minorEastAsia"/>
                <w:kern w:val="0"/>
                <w:szCs w:val="21"/>
                <w:lang w:val="zh-CN" w:eastAsia="zh-CN" w:bidi="zh-CN"/>
              </w:rPr>
              <w:t>、一台仪器最多支持三种半导体控温的加热模块，可灵活选择0.2ml ×96孔、0.1ml ×96孔、384孔；</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5</w:t>
            </w:r>
            <w:r>
              <w:rPr>
                <w:rFonts w:hint="eastAsia" w:cs="宋体" w:asciiTheme="minorEastAsia" w:hAnsiTheme="minorEastAsia"/>
                <w:kern w:val="0"/>
                <w:szCs w:val="21"/>
                <w:lang w:val="zh-CN" w:eastAsia="zh-CN" w:bidi="zh-CN"/>
              </w:rPr>
              <w:t>、标配0.2ml ×96孔和384孔模块；</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6</w:t>
            </w:r>
            <w:r>
              <w:rPr>
                <w:rFonts w:hint="eastAsia" w:cs="宋体" w:asciiTheme="minorEastAsia" w:hAnsiTheme="minorEastAsia"/>
                <w:kern w:val="0"/>
                <w:szCs w:val="21"/>
                <w:lang w:val="zh-CN" w:eastAsia="zh-CN" w:bidi="zh-CN"/>
              </w:rPr>
              <w:t>、模块通过电动马达自动进行更换，操作更简便。更换后无需校准即可使用；</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7</w:t>
            </w:r>
            <w:r>
              <w:rPr>
                <w:rFonts w:hint="eastAsia" w:cs="宋体" w:asciiTheme="minorEastAsia" w:hAnsiTheme="minorEastAsia"/>
                <w:kern w:val="0"/>
                <w:szCs w:val="21"/>
                <w:lang w:val="zh-CN" w:eastAsia="zh-CN" w:bidi="zh-CN"/>
              </w:rPr>
              <w:t>、96孔模块均含有3个独立的精确数码温控区域，每个区域可独立设置反应温度；</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8</w:t>
            </w:r>
            <w:r>
              <w:rPr>
                <w:rFonts w:hint="eastAsia" w:cs="宋体" w:asciiTheme="minorEastAsia" w:hAnsiTheme="minorEastAsia"/>
                <w:kern w:val="0"/>
                <w:szCs w:val="21"/>
                <w:lang w:val="zh-CN" w:eastAsia="zh-CN" w:bidi="zh-CN"/>
              </w:rPr>
              <w:t>、相邻温控区温度差异≤5℃，最大温度差异为10℃；</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9</w:t>
            </w:r>
            <w:r>
              <w:rPr>
                <w:rFonts w:hint="eastAsia" w:cs="宋体" w:asciiTheme="minorEastAsia" w:hAnsiTheme="minorEastAsia"/>
                <w:kern w:val="0"/>
                <w:szCs w:val="21"/>
                <w:lang w:val="zh-CN" w:eastAsia="zh-CN" w:bidi="zh-CN"/>
              </w:rPr>
              <w:t>、激发光源为高亮度白光LED光源，工作寿命≥50000小时；</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10</w:t>
            </w:r>
            <w:r>
              <w:rPr>
                <w:rFonts w:hint="eastAsia" w:cs="宋体" w:asciiTheme="minorEastAsia" w:hAnsiTheme="minorEastAsia"/>
                <w:kern w:val="0"/>
                <w:szCs w:val="21"/>
                <w:lang w:val="zh-CN" w:eastAsia="zh-CN" w:bidi="zh-CN"/>
              </w:rPr>
              <w:t>、检测系统： CMOS，同时采集荧光数据，不存在扫描时间差；</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11</w:t>
            </w:r>
            <w:r>
              <w:rPr>
                <w:rFonts w:hint="eastAsia" w:cs="宋体" w:asciiTheme="minorEastAsia" w:hAnsiTheme="minorEastAsia"/>
                <w:kern w:val="0"/>
                <w:szCs w:val="21"/>
                <w:lang w:val="zh-CN" w:eastAsia="zh-CN" w:bidi="zh-CN"/>
              </w:rPr>
              <w:t xml:space="preserve">、荧光通道数：≥5个荧光激发通道，≥5个荧光检测通道，可以同时进行≥5重定量； </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12</w:t>
            </w:r>
            <w:r>
              <w:rPr>
                <w:rFonts w:hint="eastAsia" w:cs="宋体" w:asciiTheme="minorEastAsia" w:hAnsiTheme="minorEastAsia"/>
                <w:kern w:val="0"/>
                <w:szCs w:val="21"/>
                <w:lang w:val="zh-CN" w:eastAsia="zh-CN" w:bidi="zh-CN"/>
              </w:rPr>
              <w:t>、能同时检测并区分VIC荧光和TAMRA荧光，以用于基因拷贝数(CNV)检测；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13</w:t>
            </w:r>
            <w:r>
              <w:rPr>
                <w:rFonts w:hint="eastAsia" w:cs="宋体" w:asciiTheme="minorEastAsia" w:hAnsiTheme="minorEastAsia"/>
                <w:kern w:val="0"/>
                <w:szCs w:val="21"/>
                <w:lang w:val="zh-CN" w:eastAsia="zh-CN" w:bidi="zh-CN"/>
              </w:rPr>
              <w:t>、光学激发检测范围450-680 nm/500-730 nm</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14</w:t>
            </w:r>
            <w:r>
              <w:rPr>
                <w:rFonts w:hint="eastAsia" w:cs="宋体" w:asciiTheme="minorEastAsia" w:hAnsiTheme="minorEastAsia"/>
                <w:kern w:val="0"/>
                <w:szCs w:val="21"/>
                <w:lang w:val="zh-CN" w:eastAsia="zh-CN" w:bidi="zh-CN"/>
              </w:rPr>
              <w:t>、支持ROX荧光校正去除移液误差和耗材透光度引起的物理误差；</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15</w:t>
            </w:r>
            <w:r>
              <w:rPr>
                <w:rFonts w:hint="eastAsia" w:cs="宋体" w:asciiTheme="minorEastAsia" w:hAnsiTheme="minorEastAsia"/>
                <w:kern w:val="0"/>
                <w:szCs w:val="21"/>
                <w:lang w:val="zh-CN" w:eastAsia="zh-CN" w:bidi="zh-CN"/>
              </w:rPr>
              <w:t>、安装时已校准染料：通道一：FAM, SYBR Green I；通道二：VIC；通道三：NED, ABY, TAMRA；通道四：JUN, ROX；通道五Mustang Purple, Cy5；</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16</w:t>
            </w:r>
            <w:r>
              <w:rPr>
                <w:rFonts w:hint="eastAsia" w:cs="宋体" w:asciiTheme="minorEastAsia" w:hAnsiTheme="minorEastAsia"/>
                <w:kern w:val="0"/>
                <w:szCs w:val="21"/>
                <w:lang w:val="zh-CN" w:eastAsia="zh-CN" w:bidi="zh-CN"/>
              </w:rPr>
              <w:t>、温度均一性：0.4°C</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17</w:t>
            </w:r>
            <w:r>
              <w:rPr>
                <w:rFonts w:hint="eastAsia" w:cs="宋体" w:asciiTheme="minorEastAsia" w:hAnsiTheme="minorEastAsia"/>
                <w:kern w:val="0"/>
                <w:szCs w:val="21"/>
                <w:lang w:val="zh-CN" w:eastAsia="zh-CN" w:bidi="zh-CN"/>
              </w:rPr>
              <w:t>、温度准确性：0.25°C</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18</w:t>
            </w:r>
            <w:r>
              <w:rPr>
                <w:rFonts w:hint="eastAsia" w:cs="宋体" w:asciiTheme="minorEastAsia" w:hAnsiTheme="minorEastAsia"/>
                <w:kern w:val="0"/>
                <w:szCs w:val="21"/>
                <w:lang w:val="zh-CN" w:eastAsia="zh-CN" w:bidi="zh-CN"/>
              </w:rPr>
              <w:t>、升降温速率≥6.5℃/秒；</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19</w:t>
            </w:r>
            <w:r>
              <w:rPr>
                <w:rFonts w:hint="eastAsia" w:cs="宋体" w:asciiTheme="minorEastAsia" w:hAnsiTheme="minorEastAsia"/>
                <w:kern w:val="0"/>
                <w:szCs w:val="21"/>
                <w:lang w:val="zh-CN" w:eastAsia="zh-CN" w:bidi="zh-CN"/>
              </w:rPr>
              <w:t>、反应模式：标准模式内40个循环≤2小时；快速模式40个循环≤30分钟；</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20</w:t>
            </w:r>
            <w:r>
              <w:rPr>
                <w:rFonts w:hint="eastAsia" w:cs="宋体" w:asciiTheme="minorEastAsia" w:hAnsiTheme="minorEastAsia"/>
                <w:kern w:val="0"/>
                <w:szCs w:val="21"/>
                <w:lang w:val="zh-CN" w:eastAsia="zh-CN" w:bidi="zh-CN"/>
              </w:rPr>
              <w:t>、检测灵敏度：≤1个拷贝；</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21</w:t>
            </w:r>
            <w:r>
              <w:rPr>
                <w:rFonts w:hint="eastAsia" w:cs="宋体" w:asciiTheme="minorEastAsia" w:hAnsiTheme="minorEastAsia"/>
                <w:kern w:val="0"/>
                <w:szCs w:val="21"/>
                <w:lang w:val="zh-CN" w:eastAsia="zh-CN" w:bidi="zh-CN"/>
              </w:rPr>
              <w:t>、检测精密度：≤1.5倍拷贝数差异；</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22</w:t>
            </w:r>
            <w:r>
              <w:rPr>
                <w:rFonts w:hint="eastAsia" w:cs="宋体" w:asciiTheme="minorEastAsia" w:hAnsiTheme="minorEastAsia"/>
                <w:kern w:val="0"/>
                <w:szCs w:val="21"/>
                <w:lang w:val="zh-CN" w:eastAsia="zh-CN" w:bidi="zh-CN"/>
              </w:rPr>
              <w:t>、动态范围：≥10个数量级；</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23</w:t>
            </w:r>
            <w:r>
              <w:rPr>
                <w:rFonts w:hint="eastAsia" w:cs="宋体" w:asciiTheme="minorEastAsia" w:hAnsiTheme="minorEastAsia"/>
                <w:kern w:val="0"/>
                <w:szCs w:val="21"/>
                <w:lang w:val="zh-CN" w:eastAsia="zh-CN" w:bidi="zh-CN"/>
              </w:rPr>
              <w:t>、可选高分辨率熔解曲线 HRM分析功能，分辨率最小至 0.015°C；</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24</w:t>
            </w:r>
            <w:r>
              <w:rPr>
                <w:rFonts w:hint="eastAsia" w:cs="宋体" w:asciiTheme="minorEastAsia" w:hAnsiTheme="minorEastAsia"/>
                <w:kern w:val="0"/>
                <w:szCs w:val="21"/>
                <w:lang w:val="zh-CN" w:eastAsia="zh-CN" w:bidi="zh-CN"/>
              </w:rPr>
              <w:t>、内置≥12英寸触摸屏，触摸板并可查看实时荧光定量PCR实验；</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25</w:t>
            </w:r>
            <w:r>
              <w:rPr>
                <w:rFonts w:hint="eastAsia" w:cs="宋体" w:asciiTheme="minorEastAsia" w:hAnsiTheme="minorEastAsia"/>
                <w:kern w:val="0"/>
                <w:szCs w:val="21"/>
                <w:lang w:val="zh-CN" w:eastAsia="zh-CN" w:bidi="zh-CN"/>
              </w:rPr>
              <w:t>、仪器自带存储空间≥10GB,可储存450次实验数据；</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26</w:t>
            </w:r>
            <w:r>
              <w:rPr>
                <w:rFonts w:hint="eastAsia" w:cs="宋体" w:asciiTheme="minorEastAsia" w:hAnsiTheme="minorEastAsia"/>
                <w:kern w:val="0"/>
                <w:szCs w:val="21"/>
                <w:lang w:val="zh-CN" w:eastAsia="zh-CN" w:bidi="zh-CN"/>
              </w:rPr>
              <w:t>、仪器具有断电后一小时之内恢复来电实验自动恢复的功能；</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eastAsia="zh-CN" w:bidi="zh-CN"/>
              </w:rPr>
              <w:t>27</w:t>
            </w:r>
            <w:r>
              <w:rPr>
                <w:rFonts w:hint="eastAsia" w:cs="宋体" w:asciiTheme="minorEastAsia" w:hAnsiTheme="minorEastAsia"/>
                <w:kern w:val="0"/>
                <w:szCs w:val="21"/>
                <w:lang w:val="zh-CN" w:eastAsia="zh-CN" w:bidi="zh-CN"/>
              </w:rPr>
              <w:t xml:space="preserve">、仪器的耗材和试剂盒均为开放式；用户可选择原厂同品牌多款耗材和试剂，也可选择市场上其他厂家的耗材和试剂： </w:t>
            </w:r>
          </w:p>
          <w:p>
            <w:pPr>
              <w:tabs>
                <w:tab w:val="left" w:pos="5028"/>
              </w:tabs>
              <w:autoSpaceDE w:val="0"/>
              <w:autoSpaceDN w:val="0"/>
              <w:spacing w:line="360" w:lineRule="auto"/>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kern w:val="0"/>
                <w:szCs w:val="21"/>
                <w:lang w:eastAsia="zh-CN" w:bidi="zh-CN"/>
              </w:rPr>
              <w:t>28</w:t>
            </w:r>
            <w:r>
              <w:rPr>
                <w:rFonts w:hint="eastAsia" w:cs="宋体" w:asciiTheme="minorEastAsia" w:hAnsiTheme="minorEastAsia"/>
                <w:kern w:val="0"/>
                <w:szCs w:val="21"/>
                <w:lang w:val="zh-CN" w:eastAsia="zh-CN" w:bidi="zh-CN"/>
              </w:rPr>
              <w:t>、仪器配置：荧光定量PCR主机一台，仪器控制器一套，数据采集和分析软件一套；引物和探针设计软件一套；安装试剂盒一套；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color w:val="000000" w:themeColor="text1"/>
                <w:kern w:val="0"/>
                <w:sz w:val="24"/>
                <w:szCs w:val="24"/>
                <w:lang w:val="zh-CN" w:eastAsia="zh-CN" w:bidi="zh-CN"/>
                <w14:textFill>
                  <w14:solidFill>
                    <w14:schemeClr w14:val="tx1"/>
                  </w14:solidFill>
                </w14:textFill>
              </w:rPr>
            </w:pPr>
            <w:r>
              <w:rPr>
                <w:bCs/>
                <w:sz w:val="24"/>
                <w:szCs w:val="24"/>
                <w:lang w:eastAsia="zh-CN"/>
              </w:rPr>
              <w:t>能够完成绝对定量、相对定量、基于 MGB 探针的高成功率 SNP 分析和熔解曲线分析；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应用范围:</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1、基因表达水平分析及功能研究；</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2、遗传变异检测及分子分型；</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3、病原体检测研究；</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4、甲基化定性定量分析；</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5、RNA编辑分析；</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6、基因芯片数据的验证；</w:t>
            </w:r>
          </w:p>
          <w:p>
            <w:pPr>
              <w:tabs>
                <w:tab w:val="left" w:pos="5028"/>
              </w:tabs>
              <w:autoSpaceDE w:val="0"/>
              <w:autoSpaceDN w:val="0"/>
              <w:spacing w:line="360" w:lineRule="auto"/>
              <w:rPr>
                <w:rFonts w:cs="宋体" w:asciiTheme="minorEastAsia" w:hAnsiTheme="minorEastAsia"/>
                <w:kern w:val="0"/>
                <w:szCs w:val="21"/>
                <w:lang w:val="zh-CN" w:eastAsia="zh-CN" w:bidi="zh-CN"/>
              </w:rPr>
            </w:pPr>
            <w:r>
              <w:rPr>
                <w:rFonts w:hint="eastAsia" w:cs="宋体" w:asciiTheme="minorEastAsia" w:hAnsiTheme="minorEastAsia"/>
                <w:kern w:val="0"/>
                <w:szCs w:val="21"/>
                <w:lang w:val="zh-CN" w:eastAsia="zh-CN" w:bidi="zh-CN"/>
              </w:rPr>
              <w:t>7、药物研究和筛选；</w:t>
            </w:r>
          </w:p>
          <w:p>
            <w:pPr>
              <w:tabs>
                <w:tab w:val="left" w:pos="5028"/>
              </w:tabs>
              <w:autoSpaceDE w:val="0"/>
              <w:autoSpaceDN w:val="0"/>
              <w:spacing w:line="360" w:lineRule="auto"/>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kern w:val="0"/>
                <w:szCs w:val="21"/>
                <w:lang w:val="zh-CN" w:eastAsia="zh-CN" w:bidi="zh-CN"/>
              </w:rPr>
              <w:t>8、对转基因动植物和微生物品质的评价和目的基因的定量分析。</w:t>
            </w:r>
          </w:p>
        </w:tc>
      </w:tr>
    </w:tbl>
    <w:p>
      <w:pPr>
        <w:widowControl/>
        <w:spacing w:line="520" w:lineRule="exact"/>
        <w:rPr>
          <w:rFonts w:hint="eastAsia"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hint="eastAsia" w:ascii="Arial" w:hAnsi="Arial" w:cs="Arial"/>
          <w:b/>
          <w:bCs/>
          <w:color w:val="000000"/>
          <w:sz w:val="24"/>
          <w:szCs w:val="24"/>
          <w:lang w:eastAsia="zh-CN"/>
        </w:rPr>
      </w:pPr>
      <w:r>
        <w:rPr>
          <w:rFonts w:hint="eastAsia" w:asciiTheme="minorEastAsia" w:hAnsiTheme="minorEastAsia"/>
          <w:b/>
          <w:bCs/>
          <w:color w:val="000000" w:themeColor="text1"/>
          <w:sz w:val="24"/>
          <w:szCs w:val="24"/>
          <w:lang w:val="en-US" w:eastAsia="zh-CN"/>
          <w14:textFill>
            <w14:solidFill>
              <w14:schemeClr w14:val="tx1"/>
            </w14:solidFill>
          </w14:textFill>
        </w:rPr>
        <w:t>附件：4、</w:t>
      </w:r>
      <w:r>
        <w:rPr>
          <w:rFonts w:hint="eastAsia" w:ascii="Arial" w:hAnsi="Arial" w:cs="Arial"/>
          <w:b/>
          <w:bCs/>
          <w:color w:val="000000"/>
          <w:sz w:val="24"/>
          <w:szCs w:val="24"/>
          <w:lang w:eastAsia="zh-CN"/>
        </w:rPr>
        <w:t>超高效液相高灵敏度质谱联用仪</w:t>
      </w:r>
    </w:p>
    <w:p>
      <w:pPr>
        <w:widowControl/>
        <w:spacing w:line="240" w:lineRule="auto"/>
        <w:ind w:firstLine="0" w:firstLineChars="0"/>
        <w:rPr>
          <w:rFonts w:hint="eastAsia" w:ascii="Arial" w:hAnsi="Arial" w:cs="Arial"/>
          <w:b/>
          <w:bCs/>
          <w:color w:val="000000"/>
          <w:sz w:val="24"/>
          <w:szCs w:val="24"/>
          <w:lang w:val="en-US" w:eastAsia="zh-CN"/>
        </w:rPr>
      </w:pPr>
    </w:p>
    <w:tbl>
      <w:tblPr>
        <w:tblStyle w:val="21"/>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ascii="Arial" w:hAnsi="Arial" w:cs="Arial"/>
                <w:color w:val="000000"/>
                <w:sz w:val="24"/>
                <w:szCs w:val="24"/>
                <w:lang w:eastAsia="zh-CN"/>
              </w:rPr>
            </w:pPr>
            <w:r>
              <w:rPr>
                <w:rFonts w:hint="eastAsia" w:ascii="Arial" w:hAnsi="Arial" w:cs="Arial"/>
                <w:color w:val="000000"/>
                <w:sz w:val="24"/>
                <w:szCs w:val="24"/>
                <w:lang w:eastAsia="zh-CN"/>
              </w:rPr>
              <w:t>超高效液相高灵敏度质谱联用仪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en-US" w:bidi="zh-CN"/>
                <w14:textFill>
                  <w14:solidFill>
                    <w14:schemeClr w14:val="tx1"/>
                  </w14:solidFill>
                </w14:textFill>
              </w:rPr>
            </w:pPr>
            <w:r>
              <w:rPr>
                <w:rFonts w:hint="eastAsia" w:ascii="Arial" w:hAnsi="Arial" w:cs="Arial"/>
                <w:color w:val="000000"/>
                <w:sz w:val="20"/>
                <w:lang w:eastAsia="zh-CN"/>
              </w:rPr>
              <w:t>Utra</w:t>
            </w:r>
            <w:r>
              <w:rPr>
                <w:rFonts w:ascii="Arial" w:hAnsi="Arial" w:cs="Arial"/>
                <w:color w:val="000000"/>
                <w:sz w:val="20"/>
                <w:lang w:eastAsia="en-US"/>
              </w:rPr>
              <w:t xml:space="preserve"> </w:t>
            </w:r>
            <w:r>
              <w:rPr>
                <w:rFonts w:hint="eastAsia" w:ascii="Arial" w:hAnsi="Arial" w:cs="Arial"/>
                <w:color w:val="000000"/>
                <w:sz w:val="20"/>
                <w:lang w:eastAsia="zh-CN"/>
              </w:rPr>
              <w:t>Performance</w:t>
            </w:r>
            <w:r>
              <w:rPr>
                <w:rFonts w:ascii="Arial" w:hAnsi="Arial" w:cs="Arial"/>
                <w:color w:val="000000"/>
                <w:sz w:val="20"/>
                <w:lang w:eastAsia="en-US"/>
              </w:rPr>
              <w:t xml:space="preserve"> Liquid Chromatography</w:t>
            </w:r>
            <w:r>
              <w:rPr>
                <w:rFonts w:hint="eastAsia" w:ascii="Arial" w:hAnsi="Arial" w:cs="Arial"/>
                <w:color w:val="000000"/>
                <w:sz w:val="20"/>
                <w:lang w:eastAsia="en-US"/>
              </w:rPr>
              <w:t xml:space="preserve"> Triple </w:t>
            </w:r>
            <w:r>
              <w:rPr>
                <w:rFonts w:ascii="Arial" w:hAnsi="Arial" w:cs="Arial"/>
                <w:color w:val="000000"/>
                <w:sz w:val="20"/>
                <w:lang w:eastAsia="en-US"/>
              </w:rPr>
              <w:t>Quadrupole spectrometer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预算金额人民币</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cs="宋体" w:asciiTheme="minorEastAsia" w:hAnsiTheme="minorEastAsia"/>
                <w:color w:val="000000" w:themeColor="text1"/>
                <w:kern w:val="0"/>
                <w:sz w:val="24"/>
                <w:szCs w:val="24"/>
                <w:lang w:val="zh-CN" w:eastAsia="en-US"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380万元/台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申购学院</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宋体" w:hAnsi="宋体" w:eastAsia="宋体" w:cs="宋体"/>
                <w:b/>
                <w:bCs/>
                <w:i w:val="0"/>
                <w:iCs w:val="0"/>
                <w:color w:val="000000"/>
                <w:kern w:val="0"/>
                <w:sz w:val="22"/>
                <w:szCs w:val="22"/>
                <w:u w:val="none"/>
                <w:lang w:val="en-US" w:eastAsia="zh-CN" w:bidi="ar"/>
              </w:rPr>
              <w:t>动物科学学院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申购结果</w:t>
            </w:r>
          </w:p>
        </w:tc>
        <w:tc>
          <w:tcPr>
            <w:tcW w:w="7401" w:type="dxa"/>
            <w:tcBorders>
              <w:right w:val="single" w:color="000000" w:sz="6" w:space="0"/>
            </w:tcBorders>
            <w:vAlign w:val="center"/>
          </w:tcPr>
          <w:p>
            <w:pPr>
              <w:keepNext w:val="0"/>
              <w:keepLines w:val="0"/>
              <w:widowControl/>
              <w:suppressLineNumbers w:val="0"/>
              <w:autoSpaceDE w:val="0"/>
              <w:autoSpaceDN w:val="0"/>
              <w:jc w:val="center"/>
              <w:textAlignment w:val="center"/>
              <w:rPr>
                <w:rFonts w:hint="eastAsia"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ascii="宋体" w:hAnsi="宋体" w:eastAsia="宋体" w:cs="宋体"/>
                <w:b/>
                <w:bCs/>
                <w:i w:val="0"/>
                <w:iCs w:val="0"/>
                <w:color w:val="000000"/>
                <w:kern w:val="2"/>
                <w:sz w:val="22"/>
                <w:szCs w:val="22"/>
                <w:u w:val="none"/>
                <w:lang w:val="en-US" w:eastAsia="zh-CN" w:bidi="ar-SA"/>
              </w:rPr>
              <w:t>拟同意申购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0"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1.名称：</w:t>
            </w:r>
            <w:r>
              <w:rPr>
                <w:rFonts w:hint="eastAsia" w:ascii="Times New Roman" w:hAnsi="Times New Roman" w:eastAsia="宋体"/>
                <w:color w:val="000000" w:themeColor="text1"/>
                <w:szCs w:val="21"/>
                <w:lang w:eastAsia="zh-CN"/>
                <w14:textFill>
                  <w14:solidFill>
                    <w14:schemeClr w14:val="tx1"/>
                  </w14:solidFill>
                </w14:textFill>
              </w:rPr>
              <w:t>超高效液相高灵敏度质谱联用仪</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2.用途：</w:t>
            </w:r>
            <w:r>
              <w:rPr>
                <w:rFonts w:ascii="Times New Roman" w:hAnsi="Times New Roman" w:eastAsia="宋体"/>
                <w:color w:val="000000" w:themeColor="text1"/>
                <w:szCs w:val="21"/>
                <w:lang w:eastAsia="zh-CN"/>
                <w14:textFill>
                  <w14:solidFill>
                    <w14:schemeClr w14:val="tx1"/>
                  </w14:solidFill>
                </w14:textFill>
              </w:rPr>
              <w:t>用于痕量有机化合物的</w:t>
            </w:r>
            <w:r>
              <w:rPr>
                <w:rFonts w:hint="eastAsia" w:ascii="Times New Roman" w:hAnsi="Times New Roman" w:eastAsia="宋体"/>
                <w:color w:val="000000" w:themeColor="text1"/>
                <w:szCs w:val="21"/>
                <w:lang w:eastAsia="zh-CN"/>
                <w14:textFill>
                  <w14:solidFill>
                    <w14:schemeClr w14:val="tx1"/>
                  </w14:solidFill>
                </w14:textFill>
              </w:rPr>
              <w:t>精确定量</w:t>
            </w:r>
            <w:r>
              <w:rPr>
                <w:rFonts w:ascii="Times New Roman" w:hAnsi="Times New Roman" w:eastAsia="宋体"/>
                <w:color w:val="000000" w:themeColor="text1"/>
                <w:szCs w:val="21"/>
                <w:lang w:eastAsia="zh-CN"/>
                <w14:textFill>
                  <w14:solidFill>
                    <w14:schemeClr w14:val="tx1"/>
                  </w14:solidFill>
                </w14:textFill>
              </w:rPr>
              <w:t>分析，如</w:t>
            </w:r>
            <w:r>
              <w:rPr>
                <w:rFonts w:hint="eastAsia" w:ascii="Times New Roman" w:hAnsi="Times New Roman" w:eastAsia="宋体"/>
                <w:color w:val="000000" w:themeColor="text1"/>
                <w:szCs w:val="21"/>
                <w:lang w:eastAsia="zh-CN"/>
                <w14:textFill>
                  <w14:solidFill>
                    <w14:schemeClr w14:val="tx1"/>
                  </w14:solidFill>
                </w14:textFill>
              </w:rPr>
              <w:t>靶向代谢组</w:t>
            </w:r>
            <w:r>
              <w:rPr>
                <w:rFonts w:ascii="Times New Roman" w:hAnsi="Times New Roman" w:eastAsia="宋体"/>
                <w:color w:val="000000" w:themeColor="text1"/>
                <w:szCs w:val="21"/>
                <w:lang w:eastAsia="zh-CN"/>
                <w14:textFill>
                  <w14:solidFill>
                    <w14:schemeClr w14:val="tx1"/>
                  </w14:solidFill>
                </w14:textFill>
              </w:rPr>
              <w:t>，</w:t>
            </w:r>
            <w:r>
              <w:rPr>
                <w:rFonts w:hint="eastAsia" w:ascii="Times New Roman" w:hAnsi="Times New Roman" w:eastAsia="宋体"/>
                <w:color w:val="000000" w:themeColor="text1"/>
                <w:szCs w:val="21"/>
                <w:lang w:eastAsia="zh-CN"/>
                <w14:textFill>
                  <w14:solidFill>
                    <w14:schemeClr w14:val="tx1"/>
                  </w14:solidFill>
                </w14:textFill>
              </w:rPr>
              <w:t>药物分析，</w:t>
            </w:r>
            <w:r>
              <w:rPr>
                <w:rFonts w:ascii="Times New Roman" w:hAnsi="Times New Roman" w:eastAsia="宋体"/>
                <w:color w:val="000000" w:themeColor="text1"/>
                <w:szCs w:val="21"/>
                <w:lang w:eastAsia="zh-CN"/>
                <w14:textFill>
                  <w14:solidFill>
                    <w14:schemeClr w14:val="tx1"/>
                  </w14:solidFill>
                </w14:textFill>
              </w:rPr>
              <w:t>食品安全，非法添加物和违禁添加药物分析，环境中有毒有害物质等样品的定性、定量及确证分析；符合国际、国内相关标准和法规的要求。</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3.一般规格和要求：</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3.1 一级和二级四极杆质量分析器必须均带有预过滤器和后过滤器。</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 xml:space="preserve">3.2 </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超高效液相色谱与串联四极杆质谱仪均为同一厂家生产，保证联机技术的稳定性，超高效液相色谱与三重四级杆液质均超过12年生产时间。</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3.3带有智能化操作模式，仪器可以自动进行系统调谐优化，确保用户系统准备就绪，系统状态检测，自动生成SIR或MRM 方法开发。</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4 主要技术和性能规格要求</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 xml:space="preserve">4.1  离子源和进样系统 </w:t>
            </w:r>
          </w:p>
          <w:p>
            <w:pPr>
              <w:pStyle w:val="6"/>
              <w:autoSpaceDE w:val="0"/>
              <w:autoSpaceDN w:val="0"/>
              <w:spacing w:line="440" w:lineRule="exact"/>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 xml:space="preserve">4.1.1 </w:t>
            </w:r>
            <w:r>
              <w:rPr>
                <w:rFonts w:ascii="Segoe UI Symbol" w:hAnsi="Segoe UI Symbol" w:cs="Segoe UI Symbol"/>
                <w:snapToGrid w:val="0"/>
                <w:color w:val="000000"/>
                <w:sz w:val="21"/>
                <w:szCs w:val="21"/>
                <w:lang w:eastAsia="zh-CN"/>
              </w:rPr>
              <w:t>★</w:t>
            </w:r>
            <w:r>
              <w:rPr>
                <w:rFonts w:ascii="Times New Roman" w:hAnsi="Times New Roman"/>
                <w:color w:val="000000" w:themeColor="text1"/>
                <w:kern w:val="2"/>
                <w:sz w:val="21"/>
                <w:szCs w:val="21"/>
                <w:lang w:eastAsia="zh-CN"/>
                <w14:textFill>
                  <w14:solidFill>
                    <w14:schemeClr w14:val="tx1"/>
                  </w14:solidFill>
                </w14:textFill>
              </w:rPr>
              <w:t>需配同时具有电喷雾源(ESI)和大气压化学源(APCI)的复合离子源（ESI/APCI 复合离子源）实现一次进样完成ESI/APCI离子的同时检测,同时得到ESI+ ESI- APCI+ APCI-四通道数据</w:t>
            </w:r>
            <w:r>
              <w:rPr>
                <w:rFonts w:hint="eastAsia" w:ascii="Times New Roman" w:hAnsi="Times New Roman"/>
                <w:color w:val="000000" w:themeColor="text1"/>
                <w:kern w:val="2"/>
                <w:sz w:val="21"/>
                <w:szCs w:val="21"/>
                <w:lang w:eastAsia="zh-CN"/>
                <w14:textFill>
                  <w14:solidFill>
                    <w14:schemeClr w14:val="tx1"/>
                  </w14:solidFill>
                </w14:textFill>
              </w:rPr>
              <w:t>；</w:t>
            </w:r>
            <w:r>
              <w:rPr>
                <w:rFonts w:ascii="Times New Roman" w:hAnsi="Times New Roman"/>
                <w:color w:val="000000" w:themeColor="text1"/>
                <w:kern w:val="2"/>
                <w:sz w:val="21"/>
                <w:szCs w:val="21"/>
                <w:lang w:eastAsia="zh-CN"/>
                <w14:textFill>
                  <w14:solidFill>
                    <w14:schemeClr w14:val="tx1"/>
                  </w14:solidFill>
                </w14:textFill>
              </w:rPr>
              <w:t>ESI 和APCI切换速率≤20 ms</w:t>
            </w:r>
            <w:r>
              <w:rPr>
                <w:rFonts w:hint="eastAsia" w:ascii="Times New Roman" w:hAnsi="Times New Roman"/>
                <w:color w:val="000000" w:themeColor="text1"/>
                <w:kern w:val="2"/>
                <w:sz w:val="21"/>
                <w:szCs w:val="21"/>
                <w:lang w:eastAsia="zh-CN"/>
                <w14:textFill>
                  <w14:solidFill>
                    <w14:schemeClr w14:val="tx1"/>
                  </w14:solidFill>
                </w14:textFill>
              </w:rPr>
              <w:t>；</w:t>
            </w:r>
          </w:p>
          <w:p>
            <w:pPr>
              <w:pStyle w:val="6"/>
              <w:autoSpaceDE w:val="0"/>
              <w:autoSpaceDN w:val="0"/>
              <w:spacing w:line="440" w:lineRule="exact"/>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4.1.2</w:t>
            </w:r>
            <w:r>
              <w:rPr>
                <w:rFonts w:ascii="Times New Roman" w:hAnsi="Times New Roman"/>
                <w:color w:val="000000" w:themeColor="text1"/>
                <w:kern w:val="2"/>
                <w:sz w:val="21"/>
                <w:szCs w:val="21"/>
                <w:lang w:eastAsia="zh-CN"/>
                <w14:textFill>
                  <w14:solidFill>
                    <w14:schemeClr w14:val="tx1"/>
                  </w14:solidFill>
                </w14:textFill>
              </w:rPr>
              <w:t xml:space="preserve"> </w:t>
            </w:r>
            <w:r>
              <w:rPr>
                <w:rFonts w:hint="eastAsia" w:ascii="Times New Roman" w:hAnsi="Times New Roman"/>
                <w:color w:val="000000" w:themeColor="text1"/>
                <w:kern w:val="2"/>
                <w:sz w:val="21"/>
                <w:szCs w:val="21"/>
                <w:lang w:eastAsia="zh-CN"/>
                <w14:textFill>
                  <w14:solidFill>
                    <w14:schemeClr w14:val="tx1"/>
                  </w14:solidFill>
                </w14:textFill>
              </w:rPr>
              <w:t>同时</w:t>
            </w:r>
            <w:r>
              <w:rPr>
                <w:rFonts w:hint="eastAsia" w:ascii="Times New Roman" w:hAnsi="Times New Roman"/>
                <w:color w:val="000000" w:themeColor="text1"/>
                <w:sz w:val="21"/>
                <w:szCs w:val="21"/>
                <w:lang w:eastAsia="zh-CN"/>
                <w14:textFill>
                  <w14:solidFill>
                    <w14:schemeClr w14:val="tx1"/>
                  </w14:solidFill>
                </w14:textFill>
              </w:rPr>
              <w:t>可选配</w:t>
            </w:r>
            <w:r>
              <w:rPr>
                <w:rFonts w:ascii="Times New Roman" w:hAnsi="Times New Roman"/>
                <w:color w:val="000000" w:themeColor="text1"/>
                <w:sz w:val="21"/>
                <w:szCs w:val="21"/>
                <w:lang w:eastAsia="zh-CN"/>
                <w14:textFill>
                  <w14:solidFill>
                    <w14:schemeClr w14:val="tx1"/>
                  </w14:solidFill>
                </w14:textFill>
              </w:rPr>
              <w:t>固体样品直接进样离子源</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lang w:eastAsia="zh-CN"/>
                <w14:textFill>
                  <w14:solidFill>
                    <w14:schemeClr w14:val="tx1"/>
                  </w14:solidFill>
                </w14:textFill>
              </w:rPr>
              <w:t>样品无需前处理，无需色谱分离，可进行固体</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lang w:eastAsia="zh-CN"/>
                <w14:textFill>
                  <w14:solidFill>
                    <w14:schemeClr w14:val="tx1"/>
                  </w14:solidFill>
                </w14:textFill>
              </w:rPr>
              <w:t>液体样品表面直接离子化进样</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lang w:eastAsia="zh-CN"/>
                <w14:textFill>
                  <w14:solidFill>
                    <w14:schemeClr w14:val="tx1"/>
                  </w14:solidFill>
                </w14:textFill>
              </w:rPr>
              <w:t>需与液相及质谱同一厂家生产</w:t>
            </w:r>
            <w:r>
              <w:rPr>
                <w:rFonts w:hint="eastAsia" w:ascii="Times New Roman" w:hAnsi="Times New Roman"/>
                <w:color w:val="000000" w:themeColor="text1"/>
                <w:kern w:val="2"/>
                <w:sz w:val="2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4.1.</w:t>
            </w:r>
            <w:r>
              <w:rPr>
                <w:rFonts w:hint="eastAsia" w:ascii="Times New Roman" w:hAnsi="Times New Roman" w:eastAsia="宋体"/>
                <w:color w:val="000000" w:themeColor="text1"/>
                <w:szCs w:val="21"/>
                <w:lang w:eastAsia="zh-CN"/>
                <w14:textFill>
                  <w14:solidFill>
                    <w14:schemeClr w14:val="tx1"/>
                  </w14:solidFill>
                </w14:textFill>
              </w:rPr>
              <w:t>3</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离子源具有双控温区域，离子源</w:t>
            </w:r>
            <w:r>
              <w:rPr>
                <w:rFonts w:hint="eastAsia" w:ascii="Times New Roman" w:hAnsi="Times New Roman" w:eastAsia="宋体"/>
                <w:color w:val="000000" w:themeColor="text1"/>
                <w:szCs w:val="21"/>
                <w:lang w:eastAsia="zh-CN"/>
                <w14:textFill>
                  <w14:solidFill>
                    <w14:schemeClr w14:val="tx1"/>
                  </w14:solidFill>
                </w14:textFill>
              </w:rPr>
              <w:t>ESI和APCI均</w:t>
            </w:r>
            <w:r>
              <w:rPr>
                <w:rFonts w:ascii="Times New Roman" w:hAnsi="Times New Roman" w:eastAsia="宋体"/>
                <w:color w:val="000000" w:themeColor="text1"/>
                <w:szCs w:val="21"/>
                <w:lang w:eastAsia="zh-CN"/>
                <w14:textFill>
                  <w14:solidFill>
                    <w14:schemeClr w14:val="tx1"/>
                  </w14:solidFill>
                </w14:textFill>
              </w:rPr>
              <w:t>可加热650度或以上，提高脱溶剂化效果。（提供软件截图）</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4.1.</w:t>
            </w:r>
            <w:r>
              <w:rPr>
                <w:rFonts w:hint="eastAsia" w:ascii="Times New Roman" w:hAnsi="Times New Roman" w:eastAsia="宋体"/>
                <w:color w:val="000000" w:themeColor="text1"/>
                <w:szCs w:val="21"/>
                <w:lang w:eastAsia="zh-CN"/>
                <w14:textFill>
                  <w14:solidFill>
                    <w14:schemeClr w14:val="tx1"/>
                  </w14:solidFill>
                </w14:textFill>
              </w:rPr>
              <w:t>4</w:t>
            </w:r>
            <w:r>
              <w:rPr>
                <w:rFonts w:hint="eastAsia" w:ascii="宋体" w:hAnsi="宋体" w:eastAsia="宋体"/>
                <w:snapToGrid w:val="0"/>
                <w:color w:val="000000"/>
                <w:szCs w:val="21"/>
                <w:lang w:eastAsia="zh-CN"/>
              </w:rPr>
              <w:t>★</w:t>
            </w:r>
            <w:r>
              <w:rPr>
                <w:rFonts w:ascii="Times New Roman" w:hAnsi="Times New Roman" w:eastAsia="宋体"/>
                <w:snapToGrid w:val="0"/>
                <w:color w:val="000000"/>
                <w:szCs w:val="21"/>
                <w:lang w:eastAsia="zh-CN"/>
              </w:rPr>
              <w:t>质谱</w:t>
            </w:r>
            <w:r>
              <w:rPr>
                <w:rFonts w:ascii="Times New Roman" w:hAnsi="Times New Roman" w:eastAsia="宋体"/>
                <w:color w:val="000000" w:themeColor="text1"/>
                <w:szCs w:val="21"/>
                <w:lang w:eastAsia="zh-CN"/>
                <w14:textFill>
                  <w14:solidFill>
                    <w14:schemeClr w14:val="tx1"/>
                  </w14:solidFill>
                </w14:textFill>
              </w:rPr>
              <w:t>配备</w:t>
            </w:r>
            <w:r>
              <w:rPr>
                <w:rFonts w:hint="eastAsia" w:ascii="Times New Roman" w:hAnsi="Times New Roman" w:eastAsia="宋体"/>
                <w:color w:val="000000" w:themeColor="text1"/>
                <w:szCs w:val="21"/>
                <w:lang w:eastAsia="zh-CN"/>
                <w14:textFill>
                  <w14:solidFill>
                    <w14:schemeClr w14:val="tx1"/>
                  </w14:solidFill>
                </w14:textFill>
              </w:rPr>
              <w:t>大气压气相电离</w:t>
            </w:r>
            <w:r>
              <w:rPr>
                <w:rFonts w:ascii="Times New Roman" w:hAnsi="Times New Roman" w:eastAsia="宋体"/>
                <w:color w:val="000000" w:themeColor="text1"/>
                <w:szCs w:val="21"/>
                <w:lang w:eastAsia="zh-CN"/>
                <w14:textFill>
                  <w14:solidFill>
                    <w14:schemeClr w14:val="tx1"/>
                  </w14:solidFill>
                </w14:textFill>
              </w:rPr>
              <w:t>离子源</w:t>
            </w:r>
            <w:r>
              <w:rPr>
                <w:rFonts w:hint="eastAsia" w:ascii="Times New Roman" w:hAnsi="Times New Roman" w:eastAsia="宋体"/>
                <w:color w:val="000000" w:themeColor="text1"/>
                <w:szCs w:val="21"/>
                <w:lang w:eastAsia="zh-CN"/>
                <w14:textFill>
                  <w14:solidFill>
                    <w14:schemeClr w14:val="tx1"/>
                  </w14:solidFill>
                </w14:textFill>
              </w:rPr>
              <w:t>和气相色谱</w:t>
            </w:r>
            <w:r>
              <w:rPr>
                <w:rFonts w:ascii="Times New Roman" w:hAnsi="Times New Roman" w:eastAsia="宋体"/>
                <w:color w:val="000000" w:themeColor="text1"/>
                <w:szCs w:val="21"/>
                <w:lang w:eastAsia="zh-CN"/>
                <w14:textFill>
                  <w14:solidFill>
                    <w14:schemeClr w14:val="tx1"/>
                  </w14:solidFill>
                </w14:textFill>
              </w:rPr>
              <w:t>，可随时进行LC-MSMS和GC-MSMS的快速切换</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napToGrid w:val="0"/>
              <w:spacing w:line="360" w:lineRule="auto"/>
              <w:ind w:right="414" w:rightChars="197"/>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4.1.</w:t>
            </w:r>
            <w:r>
              <w:rPr>
                <w:rFonts w:hint="eastAsia" w:ascii="Times New Roman" w:hAnsi="Times New Roman" w:eastAsia="宋体"/>
                <w:color w:val="000000" w:themeColor="text1"/>
                <w:szCs w:val="21"/>
                <w:lang w:eastAsia="zh-CN"/>
                <w14:textFill>
                  <w14:solidFill>
                    <w14:schemeClr w14:val="tx1"/>
                  </w14:solidFill>
                </w14:textFill>
              </w:rPr>
              <w:t>5</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离子源传输采用锥孔设计，在离子传输系统的任意部分均不得使用毛细管接口（包括金属及镀金石英毛细管等），防止热裂解、冷凝而导致的样品分解和堵塞，维护简单，无需卸真空，使用成本低。（提供结构图，当出现投标质疑时需到第三方实验室的所投型号上现场验证）</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4.1.</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 xml:space="preserve"> 内置全自动注射泵和直接进样瓶3个及以上，可通过软件自动切换，实现质谱直接进样自动调谐和校准，以及化合物质谱条件开发，每次可同时优化多个化合物，开发好的质谱条件可以自动保存为方法文件，直接用于样品分析</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4.1.</w:t>
            </w:r>
            <w:r>
              <w:rPr>
                <w:rFonts w:hint="eastAsia" w:ascii="Times New Roman" w:hAnsi="Times New Roman" w:eastAsia="宋体"/>
                <w:color w:val="000000" w:themeColor="text1"/>
                <w:szCs w:val="21"/>
                <w:lang w:eastAsia="zh-CN"/>
                <w14:textFill>
                  <w14:solidFill>
                    <w14:schemeClr w14:val="tx1"/>
                  </w14:solidFill>
                </w14:textFill>
              </w:rPr>
              <w:t>7</w:t>
            </w:r>
            <w:r>
              <w:rPr>
                <w:rFonts w:ascii="Times New Roman" w:hAnsi="Times New Roman" w:eastAsia="宋体"/>
                <w:color w:val="000000" w:themeColor="text1"/>
                <w:szCs w:val="21"/>
                <w:lang w:eastAsia="zh-CN"/>
                <w14:textFill>
                  <w14:solidFill>
                    <w14:schemeClr w14:val="tx1"/>
                  </w14:solidFill>
                </w14:textFill>
              </w:rPr>
              <w:t>偏轴式离子传输系统设计大幅度提升可电离组分的信号，同时“偏轴”设计可以使电离离子与中性噪音完全分离，可有效排除中性干扰基质所带来的基质效应，降低噪声，大幅提高检测灵敏度，同时也能提高仪器耐污染能力</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4.2 真空系统</w:t>
            </w:r>
          </w:p>
          <w:p>
            <w:pPr>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包含特殊设计的大抽速机械泵及长寿命涡轮分子泵组合差分抽气高真空系统, 无需额外水冷却系统，自动断电保护功能，分子涡轮泵抽速需小于255L/H。</w:t>
            </w:r>
          </w:p>
          <w:p>
            <w:pPr>
              <w:autoSpaceDE w:val="0"/>
              <w:autoSpaceDN w:val="0"/>
              <w:adjustRightInd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 xml:space="preserve">4.3  检测器 </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Segoe UI Symbol" w:hAnsi="Segoe UI Symbol" w:eastAsia="宋体" w:cs="Segoe UI Symbol"/>
                <w:snapToGrid w:val="0"/>
                <w:color w:val="000000"/>
                <w:szCs w:val="21"/>
                <w:lang w:eastAsia="zh-CN"/>
              </w:rPr>
              <w:t>★</w:t>
            </w:r>
            <w:r>
              <w:rPr>
                <w:rFonts w:hint="eastAsia" w:ascii="Segoe UI Symbol" w:hAnsi="Segoe UI Symbol" w:eastAsia="宋体" w:cs="Segoe UI Symbol"/>
                <w:snapToGrid w:val="0"/>
                <w:color w:val="000000"/>
                <w:szCs w:val="21"/>
                <w:lang w:eastAsia="zh-CN"/>
              </w:rPr>
              <w:t>采用</w:t>
            </w:r>
            <w:r>
              <w:rPr>
                <w:rFonts w:ascii="Times New Roman" w:hAnsi="Times New Roman" w:eastAsia="宋体"/>
                <w:color w:val="000000" w:themeColor="text1"/>
                <w:szCs w:val="21"/>
                <w:lang w:eastAsia="zh-CN"/>
                <w14:textFill>
                  <w14:solidFill>
                    <w14:schemeClr w14:val="tx1"/>
                  </w14:solidFill>
                </w14:textFill>
              </w:rPr>
              <w:t>光电倍增器（非电子倍增管）密封在真空玻璃内，满足长期大量脏样品定量分析的数据可靠性和重复性。噪声、偏轴、高灵敏度，不会因使用造成的灵敏度下降而导致2－3年失效更换</w:t>
            </w:r>
            <w:r>
              <w:rPr>
                <w:rFonts w:hint="eastAsia" w:ascii="Times New Roman" w:hAnsi="Times New Roman" w:eastAsia="宋体"/>
                <w:color w:val="000000" w:themeColor="text1"/>
                <w:szCs w:val="21"/>
                <w:lang w:eastAsia="zh-CN"/>
                <w14:textFill>
                  <w14:solidFill>
                    <w14:schemeClr w14:val="tx1"/>
                  </w14:solidFill>
                </w14:textFill>
              </w:rPr>
              <w:t>； 如使用电子倍增检测器，则必须额外提供五个备用检测器作为后续更换部件</w:t>
            </w:r>
            <w:r>
              <w:rPr>
                <w:rFonts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4.4 四极杆串联质谱仪性能指标</w:t>
            </w:r>
          </w:p>
          <w:p>
            <w:pPr>
              <w:autoSpaceDE w:val="0"/>
              <w:autoSpaceDN w:val="0"/>
              <w:snapToGrid w:val="0"/>
              <w:spacing w:line="360" w:lineRule="auto"/>
              <w:ind w:right="414" w:rightChars="197"/>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 xml:space="preserve">4.4.1 </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 xml:space="preserve">质量范围: </w:t>
            </w:r>
            <w:r>
              <w:rPr>
                <w:rFonts w:hint="eastAsia" w:ascii="Times New Roman" w:hAnsi="Times New Roman" w:eastAsia="宋体"/>
                <w:color w:val="000000" w:themeColor="text1"/>
                <w:szCs w:val="21"/>
                <w:lang w:eastAsia="zh-CN"/>
                <w14:textFill>
                  <w14:solidFill>
                    <w14:schemeClr w14:val="tx1"/>
                  </w14:solidFill>
                </w14:textFill>
              </w:rPr>
              <w:t>最小质量</w:t>
            </w:r>
            <w:r>
              <w:rPr>
                <w:rFonts w:hint="eastAsia" w:ascii="宋体" w:hAnsi="宋体"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2</w:t>
            </w:r>
            <w:r>
              <w:rPr>
                <w:rFonts w:hint="eastAsia" w:ascii="Times New Roman" w:hAnsi="Times New Roman" w:eastAsia="宋体"/>
                <w:color w:val="000000" w:themeColor="text1"/>
                <w:szCs w:val="21"/>
                <w:lang w:eastAsia="zh-CN"/>
                <w14:textFill>
                  <w14:solidFill>
                    <w14:schemeClr w14:val="tx1"/>
                  </w14:solidFill>
                </w14:textFill>
              </w:rPr>
              <w:t xml:space="preserve"> m/z，且最大质谱</w:t>
            </w:r>
            <w:r>
              <w:rPr>
                <w:rFonts w:hint="eastAsia" w:ascii="宋体" w:hAnsi="宋体"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2040</w:t>
            </w:r>
            <w:r>
              <w:rPr>
                <w:rFonts w:hint="eastAsia" w:ascii="Times New Roman" w:hAnsi="Times New Roman" w:eastAsia="宋体"/>
                <w:color w:val="000000" w:themeColor="text1"/>
                <w:szCs w:val="21"/>
                <w:lang w:eastAsia="zh-CN"/>
                <w14:textFill>
                  <w14:solidFill>
                    <w14:schemeClr w14:val="tx1"/>
                  </w14:solidFill>
                </w14:textFill>
              </w:rPr>
              <w:t>m/z</w:t>
            </w:r>
            <w:r>
              <w:rPr>
                <w:rFonts w:ascii="Times New Roman" w:hAnsi="Times New Roman" w:eastAsia="宋体"/>
                <w:color w:val="000000" w:themeColor="text1"/>
                <w:szCs w:val="21"/>
                <w:lang w:eastAsia="zh-CN"/>
                <w14:textFill>
                  <w14:solidFill>
                    <w14:schemeClr w14:val="tx1"/>
                  </w14:solidFill>
                </w14:textFill>
              </w:rPr>
              <w:t>。（提供软件截图，当出现投标质疑时需到第三方实验室的所投型号上现场验证）；</w:t>
            </w:r>
          </w:p>
          <w:p>
            <w:pPr>
              <w:pStyle w:val="6"/>
              <w:autoSpaceDE w:val="0"/>
              <w:autoSpaceDN w:val="0"/>
              <w:spacing w:line="440" w:lineRule="exact"/>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4.4.2 正负离子切换时间小于15ms；</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4.4.3 质量数稳定性： 平均标准偏差≤0.05Da /24Hr，全质量范围偏差≤0.01%</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 xml:space="preserve">4.4.4 </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ESI正离子灵敏度：1pg利血平柱上进样，m/z609-195，信噪比≥1</w:t>
            </w:r>
            <w:r>
              <w:rPr>
                <w:rFonts w:hint="eastAsia" w:ascii="Times New Roman" w:hAnsi="Times New Roman" w:eastAsia="宋体"/>
                <w:color w:val="000000" w:themeColor="text1"/>
                <w:szCs w:val="21"/>
                <w:lang w:eastAsia="zh-CN"/>
                <w14:textFill>
                  <w14:solidFill>
                    <w14:schemeClr w14:val="tx1"/>
                  </w14:solidFill>
                </w14:textFill>
              </w:rPr>
              <w:t>5</w:t>
            </w:r>
            <w:r>
              <w:rPr>
                <w:rFonts w:ascii="Times New Roman" w:hAnsi="Times New Roman" w:eastAsia="宋体"/>
                <w:color w:val="000000" w:themeColor="text1"/>
                <w:szCs w:val="21"/>
                <w:lang w:eastAsia="zh-CN"/>
                <w14:textFill>
                  <w14:solidFill>
                    <w14:schemeClr w14:val="tx1"/>
                  </w14:solidFill>
                </w14:textFill>
              </w:rPr>
              <w:t xml:space="preserve">00000:1, 原始数据或无平滑数据; </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lang w:eastAsia="zh-CN"/>
                <w14:textFill>
                  <w14:solidFill>
                    <w14:schemeClr w14:val="tx1"/>
                  </w14:solidFill>
                </w14:textFill>
              </w:rPr>
              <w:t xml:space="preserve">      </w:t>
            </w:r>
            <w:r>
              <w:rPr>
                <w:rFonts w:ascii="Times New Roman" w:hAnsi="Times New Roman" w:eastAsia="宋体"/>
                <w:color w:val="000000" w:themeColor="text1"/>
                <w:szCs w:val="21"/>
                <w:lang w:eastAsia="zh-CN"/>
                <w14:textFill>
                  <w14:solidFill>
                    <w14:schemeClr w14:val="tx1"/>
                  </w14:solidFill>
                </w14:textFill>
              </w:rPr>
              <w:t>ESI</w:t>
            </w:r>
            <w:r>
              <w:rPr>
                <w:rFonts w:hint="eastAsia" w:ascii="Times New Roman" w:hAnsi="Times New Roman" w:eastAsia="宋体"/>
                <w:color w:val="000000" w:themeColor="text1"/>
                <w:szCs w:val="21"/>
                <w:lang w:eastAsia="zh-CN"/>
                <w14:textFill>
                  <w14:solidFill>
                    <w14:schemeClr w14:val="tx1"/>
                  </w14:solidFill>
                </w14:textFill>
              </w:rPr>
              <w:t>负</w:t>
            </w:r>
            <w:r>
              <w:rPr>
                <w:rFonts w:ascii="Times New Roman" w:hAnsi="Times New Roman" w:eastAsia="宋体"/>
                <w:color w:val="000000" w:themeColor="text1"/>
                <w:szCs w:val="21"/>
                <w:lang w:eastAsia="zh-CN"/>
                <w14:textFill>
                  <w14:solidFill>
                    <w14:schemeClr w14:val="tx1"/>
                  </w14:solidFill>
                </w14:textFill>
              </w:rPr>
              <w:t>离子灵敏度</w:t>
            </w:r>
            <w:r>
              <w:rPr>
                <w:rFonts w:hint="eastAsia" w:ascii="Times New Roman" w:hAnsi="Times New Roman"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1pg</w:t>
            </w:r>
            <w:r>
              <w:rPr>
                <w:rFonts w:hint="eastAsia" w:ascii="Times New Roman" w:hAnsi="Times New Roman" w:eastAsia="宋体"/>
                <w:color w:val="000000" w:themeColor="text1"/>
                <w:szCs w:val="21"/>
                <w:lang w:eastAsia="zh-CN"/>
                <w14:textFill>
                  <w14:solidFill>
                    <w14:schemeClr w14:val="tx1"/>
                  </w14:solidFill>
                </w14:textFill>
              </w:rPr>
              <w:t>氯霉素</w:t>
            </w:r>
            <w:r>
              <w:rPr>
                <w:rFonts w:ascii="Times New Roman" w:hAnsi="Times New Roman" w:eastAsia="宋体"/>
                <w:color w:val="000000" w:themeColor="text1"/>
                <w:szCs w:val="21"/>
                <w:lang w:eastAsia="zh-CN"/>
                <w14:textFill>
                  <w14:solidFill>
                    <w14:schemeClr w14:val="tx1"/>
                  </w14:solidFill>
                </w14:textFill>
              </w:rPr>
              <w:t>柱上进样，m/z</w:t>
            </w:r>
            <w:r>
              <w:rPr>
                <w:rFonts w:hint="eastAsia" w:ascii="Times New Roman" w:hAnsi="Times New Roman" w:eastAsia="宋体"/>
                <w:color w:val="000000" w:themeColor="text1"/>
                <w:szCs w:val="21"/>
                <w:lang w:eastAsia="zh-CN"/>
                <w14:textFill>
                  <w14:solidFill>
                    <w14:schemeClr w14:val="tx1"/>
                  </w14:solidFill>
                </w14:textFill>
              </w:rPr>
              <w:t>321</w:t>
            </w:r>
            <w:r>
              <w:rPr>
                <w:rFonts w:ascii="Times New Roman" w:hAnsi="Times New Roman" w:eastAsia="宋体"/>
                <w:color w:val="000000" w:themeColor="text1"/>
                <w:szCs w:val="21"/>
                <w:lang w:eastAsia="zh-CN"/>
                <w14:textFill>
                  <w14:solidFill>
                    <w14:schemeClr w14:val="tx1"/>
                  </w14:solidFill>
                </w14:textFill>
              </w:rPr>
              <w:t>-1</w:t>
            </w:r>
            <w:r>
              <w:rPr>
                <w:rFonts w:hint="eastAsia" w:ascii="Times New Roman" w:hAnsi="Times New Roman" w:eastAsia="宋体"/>
                <w:color w:val="000000" w:themeColor="text1"/>
                <w:szCs w:val="21"/>
                <w:lang w:eastAsia="zh-CN"/>
                <w14:textFill>
                  <w14:solidFill>
                    <w14:schemeClr w14:val="tx1"/>
                  </w14:solidFill>
                </w14:textFill>
              </w:rPr>
              <w:t>52</w:t>
            </w:r>
            <w:r>
              <w:rPr>
                <w:rFonts w:ascii="Times New Roman" w:hAnsi="Times New Roman" w:eastAsia="宋体"/>
                <w:color w:val="000000" w:themeColor="text1"/>
                <w:szCs w:val="21"/>
                <w:lang w:eastAsia="zh-CN"/>
                <w14:textFill>
                  <w14:solidFill>
                    <w14:schemeClr w14:val="tx1"/>
                  </w14:solidFill>
                </w14:textFill>
              </w:rPr>
              <w:t>，信噪比≥1500000:1, 原始数据或无平滑数据</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4.4.5 一次进样可完成＞32768组MRM的同时分析而不损失灵敏度</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eastAsia="宋体"/>
                <w:color w:val="000000" w:themeColor="text1"/>
                <w:szCs w:val="21"/>
                <w:lang w:eastAsia="zh-CN"/>
                <w14:textFill>
                  <w14:solidFill>
                    <w14:schemeClr w14:val="tx1"/>
                  </w14:solidFill>
                </w14:textFill>
              </w:rPr>
              <w:t>4.4.6</w:t>
            </w:r>
            <w:r>
              <w:rPr>
                <w:rFonts w:ascii="Times New Roman" w:hAnsi="Times New Roman" w:eastAsia="宋体"/>
                <w:color w:val="000000" w:themeColor="text1"/>
                <w:szCs w:val="21"/>
                <w:lang w:eastAsia="zh-CN"/>
                <w14:textFill>
                  <w14:solidFill>
                    <w14:schemeClr w14:val="tx1"/>
                  </w14:solidFill>
                </w14:textFill>
              </w:rPr>
              <w:t xml:space="preserve"> </w:t>
            </w:r>
            <w:r>
              <w:rPr>
                <w:rFonts w:ascii="Segoe UI Symbol" w:hAnsi="Segoe UI Symbol" w:eastAsia="宋体" w:cs="Segoe UI Symbol"/>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扫描速度：</w:t>
            </w:r>
            <w:r>
              <w:rPr>
                <w:rFonts w:hint="eastAsia" w:ascii="仿宋" w:hAnsi="仿宋" w:eastAsia="仿宋"/>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20000amu/s</w:t>
            </w:r>
            <w:r>
              <w:rPr>
                <w:rFonts w:hint="eastAsia" w:ascii="Times New Roman" w:hAnsi="Times New Roman"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 xml:space="preserve">   </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w:t>
            </w:r>
            <w:r>
              <w:rPr>
                <w:rFonts w:hint="eastAsia" w:ascii="Times New Roman" w:hAnsi="Times New Roman" w:eastAsia="宋体"/>
                <w:color w:val="000000" w:themeColor="text1"/>
                <w:szCs w:val="21"/>
                <w:lang w:eastAsia="zh-CN"/>
                <w14:textFill>
                  <w14:solidFill>
                    <w14:schemeClr w14:val="tx1"/>
                  </w14:solidFill>
                </w14:textFill>
              </w:rPr>
              <w:t>7</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碰撞室： 碰撞室为直线型（不得各种角度弯曲），对离子进行线性加速，可提高离子利用率，提高灵敏度。碰撞室具备“离子蓄积”功能， 得到完整、高灵敏的选定母离子的增强型全扫描子离子谱图，对比于传统全扫描模式，10-100倍增加定性的功能；提高离子利用率，得到更强的信号强度，提高灵敏度，增加定量的功能（需提供仪器结构图）</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w:t>
            </w:r>
            <w:r>
              <w:rPr>
                <w:rFonts w:hint="eastAsia" w:ascii="Times New Roman" w:hAnsi="Times New Roman" w:eastAsia="宋体"/>
                <w:color w:val="000000" w:themeColor="text1"/>
                <w:szCs w:val="21"/>
                <w:lang w:eastAsia="zh-CN"/>
                <w14:textFill>
                  <w14:solidFill>
                    <w14:schemeClr w14:val="tx1"/>
                  </w14:solidFill>
                </w14:textFill>
              </w:rPr>
              <w:t>8</w:t>
            </w:r>
            <w:r>
              <w:rPr>
                <w:rFonts w:ascii="Times New Roman" w:hAnsi="Times New Roman" w:eastAsia="宋体"/>
                <w:color w:val="000000" w:themeColor="text1"/>
                <w:szCs w:val="21"/>
                <w:lang w:eastAsia="zh-CN"/>
                <w14:textFill>
                  <w14:solidFill>
                    <w14:schemeClr w14:val="tx1"/>
                  </w14:solidFill>
                </w14:textFill>
              </w:rPr>
              <w:t xml:space="preserve"> 扫描方式：</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w:t>
            </w:r>
            <w:r>
              <w:rPr>
                <w:rFonts w:hint="eastAsia" w:ascii="Times New Roman" w:hAnsi="Times New Roman" w:eastAsia="宋体"/>
                <w:color w:val="000000" w:themeColor="text1"/>
                <w:szCs w:val="21"/>
                <w:lang w:eastAsia="zh-CN"/>
                <w14:textFill>
                  <w14:solidFill>
                    <w14:schemeClr w14:val="tx1"/>
                  </w14:solidFill>
                </w14:textFill>
              </w:rPr>
              <w:t>8</w:t>
            </w:r>
            <w:r>
              <w:rPr>
                <w:rFonts w:ascii="Times New Roman" w:hAnsi="Times New Roman" w:eastAsia="宋体"/>
                <w:color w:val="000000" w:themeColor="text1"/>
                <w:szCs w:val="21"/>
                <w:lang w:eastAsia="zh-CN"/>
                <w14:textFill>
                  <w14:solidFill>
                    <w14:schemeClr w14:val="tx1"/>
                  </w14:solidFill>
                </w14:textFill>
              </w:rPr>
              <w:t>.1具有全扫描(Full Scan)、选择离子扫描(SIM)、子离子扫描（Product Ion Scan）、母离子扫描（Precursor Ion Scan）、中性丢失扫描（Neutral Loss Scan）、多反应监测扫描（MRM）以及增强型子离子全扫描功能。</w:t>
            </w:r>
          </w:p>
          <w:p>
            <w:pPr>
              <w:pStyle w:val="10"/>
              <w:autoSpaceDE w:val="0"/>
              <w:autoSpaceDN w:val="0"/>
              <w:spacing w:line="440" w:lineRule="exact"/>
              <w:jc w:val="both"/>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4.4.</w:t>
            </w:r>
            <w:r>
              <w:rPr>
                <w:rFonts w:hint="eastAsia"/>
                <w:color w:val="000000" w:themeColor="text1"/>
                <w:sz w:val="21"/>
                <w:szCs w:val="21"/>
                <w:lang w:eastAsia="zh-CN"/>
                <w14:textFill>
                  <w14:solidFill>
                    <w14:schemeClr w14:val="tx1"/>
                  </w14:solidFill>
                </w14:textFill>
              </w:rPr>
              <w:t>8</w:t>
            </w:r>
            <w:r>
              <w:rPr>
                <w:color w:val="000000" w:themeColor="text1"/>
                <w:sz w:val="21"/>
                <w:szCs w:val="21"/>
                <w:lang w:eastAsia="zh-CN"/>
                <w14:textFill>
                  <w14:solidFill>
                    <w14:schemeClr w14:val="tx1"/>
                  </w14:solidFill>
                </w14:textFill>
              </w:rPr>
              <w:t>.2双重扫描MRM模式：在一针进样的同时完成MRM定量通道和全扫描的样品信息扫描模式--一种富含信息的扫描模式，可以在高选择性准确定量目标倾倒物的同时提供样品背景监控信息，且为液相方法开发及前处理方法开发提供依据，大大提高复杂样品定量准确性。MRM和Full Sacn切换时间 ≤ 3ms。（提供官网可查的应用文献）</w:t>
            </w:r>
            <w:r>
              <w:rPr>
                <w:rFonts w:hint="eastAsia"/>
                <w:color w:val="000000" w:themeColor="text1"/>
                <w:sz w:val="2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4.4.</w:t>
            </w:r>
            <w:r>
              <w:rPr>
                <w:rFonts w:hint="eastAsia" w:ascii="Times New Roman" w:hAnsi="Times New Roman" w:eastAsia="宋体"/>
                <w:color w:val="000000" w:themeColor="text1"/>
                <w:szCs w:val="21"/>
                <w:lang w:eastAsia="zh-CN"/>
                <w14:textFill>
                  <w14:solidFill>
                    <w14:schemeClr w14:val="tx1"/>
                  </w14:solidFill>
                </w14:textFill>
              </w:rPr>
              <w:t>8</w:t>
            </w:r>
            <w:r>
              <w:rPr>
                <w:rFonts w:ascii="Times New Roman" w:hAnsi="Times New Roman" w:eastAsia="宋体"/>
                <w:color w:val="000000" w:themeColor="text1"/>
                <w:szCs w:val="21"/>
                <w:lang w:eastAsia="zh-CN"/>
                <w14:textFill>
                  <w14:solidFill>
                    <w14:schemeClr w14:val="tx1"/>
                  </w14:solidFill>
                </w14:textFill>
              </w:rPr>
              <w:t xml:space="preserve">.3 </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动态阈值二级全扫描子离子确认功能：在检测MRM通道的同时采集目标化合物的完整二级子离子全扫描信号（非多通道MRM叠加图），并自动同标准品二级全扫描谱图实现比对、确证，在定量分析的同时实现定性功能，大大降低复杂痕量样品的假阳性。（提供官网可查的应用文献）</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 xml:space="preserve">4.5  软件: </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 仪器参数的检测及校正功能：</w:t>
            </w:r>
            <w:r>
              <w:rPr>
                <w:rFonts w:hint="eastAsia" w:ascii="Times New Roman" w:hAnsi="Times New Roman" w:eastAsia="宋体"/>
                <w:color w:val="000000" w:themeColor="text1"/>
                <w:szCs w:val="21"/>
                <w:lang w:eastAsia="zh-CN"/>
                <w14:textFill>
                  <w14:solidFill>
                    <w14:schemeClr w14:val="tx1"/>
                  </w14:solidFill>
                </w14:textFill>
              </w:rPr>
              <w:t>智能开机</w:t>
            </w:r>
            <w:r>
              <w:rPr>
                <w:rFonts w:ascii="Times New Roman" w:hAnsi="Times New Roman" w:eastAsia="宋体"/>
                <w:color w:val="000000" w:themeColor="text1"/>
                <w:szCs w:val="21"/>
                <w:lang w:eastAsia="zh-CN"/>
                <w14:textFill>
                  <w14:solidFill>
                    <w14:schemeClr w14:val="tx1"/>
                  </w14:solidFill>
                </w14:textFill>
              </w:rPr>
              <w:t>技术-系统参数检测及预警；集成的样品/校正液传输系统，可编程控制的切换阀；自动质量校正；自动样品调谐；自动SIR和MRM方法开发；UPLC/MS/MS系统检查</w:t>
            </w:r>
            <w:r>
              <w:rPr>
                <w:rFonts w:hint="eastAsia" w:ascii="Times New Roman" w:hAnsi="Times New Roman"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自动柱上性能检测</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4.5.1.1 系统参数的检测及其预警</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4.5.1.2自动调谐参数（质谱分辨率、质谱校准、离子源优化）</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4.5.1.3自动生成SIR/MRM方法</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4.5.1.4检查液相色谱/质谱系统性能，确保分析结果准确</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426"/>
              </w:tabs>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4.5.1.5监测系统长期稳定性，能根据分析操作的情况绘制短、中、长期的批间趋势图，长期监测系统健康</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426"/>
              </w:tabs>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4.5.2  目标化合物分析软件</w:t>
            </w:r>
            <w:r>
              <w:rPr>
                <w:rFonts w:hint="eastAsia" w:ascii="Times New Roman" w:hAnsi="Times New Roman" w:eastAsia="宋体"/>
                <w:color w:val="000000" w:themeColor="text1"/>
                <w:szCs w:val="21"/>
                <w:lang w:eastAsia="zh-CN"/>
                <w14:textFill>
                  <w14:solidFill>
                    <w14:schemeClr w14:val="tx1"/>
                  </w14:solidFill>
                </w14:textFill>
              </w:rPr>
              <w:t>；</w:t>
            </w:r>
            <w:r>
              <w:rPr>
                <w:rFonts w:ascii="Times New Roman" w:hAnsi="Times New Roman" w:eastAsia="宋体"/>
                <w:color w:val="000000" w:themeColor="text1"/>
                <w:szCs w:val="21"/>
                <w:lang w:eastAsia="zh-CN"/>
                <w14:textFill>
                  <w14:solidFill>
                    <w14:schemeClr w14:val="tx1"/>
                  </w14:solidFill>
                </w14:textFill>
              </w:rPr>
              <w:t xml:space="preserve"> </w:t>
            </w:r>
          </w:p>
          <w:p>
            <w:pPr>
              <w:tabs>
                <w:tab w:val="left" w:pos="426"/>
              </w:tabs>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4.5.3  符合法规的定量软件，实现自动MRM离子丰度比确认</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426"/>
              </w:tabs>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4.5.4  QC自动监测软件</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426"/>
              </w:tabs>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4.5.5</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须提供2000种以上化合物的方法库</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426"/>
              </w:tabs>
              <w:autoSpaceDE w:val="0"/>
              <w:autoSpaceDN w:val="0"/>
              <w:spacing w:line="440" w:lineRule="exact"/>
              <w:rPr>
                <w:rFonts w:ascii="Times New Roman" w:hAnsi="Times New Roman" w:eastAsia="宋体"/>
                <w:b/>
                <w:color w:val="000000" w:themeColor="text1"/>
                <w:szCs w:val="21"/>
                <w:lang w:eastAsia="zh-CN"/>
                <w14:textFill>
                  <w14:solidFill>
                    <w14:schemeClr w14:val="tx1"/>
                  </w14:solidFill>
                </w14:textFill>
              </w:rPr>
            </w:pPr>
            <w:r>
              <w:rPr>
                <w:rFonts w:ascii="Times New Roman" w:hAnsi="Times New Roman" w:eastAsia="宋体"/>
                <w:b/>
                <w:color w:val="000000" w:themeColor="text1"/>
                <w:szCs w:val="21"/>
                <w:lang w:eastAsia="zh-CN"/>
                <w14:textFill>
                  <w14:solidFill>
                    <w14:schemeClr w14:val="tx1"/>
                  </w14:solidFill>
                </w14:textFill>
              </w:rPr>
              <w:t>4.6  超高效液相色谱仪</w:t>
            </w:r>
          </w:p>
          <w:p>
            <w:pPr>
              <w:tabs>
                <w:tab w:val="left" w:pos="324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4.6.1 流速范围：0.001-2mL/min，以 0.001ml/min 为增量</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324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4.6.2 最高操作压力：≥15000psi</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4.6.3 延迟体积：≤400µL，含100uL混合器，不随反压变化</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bCs/>
                <w:color w:val="000000" w:themeColor="text1"/>
                <w:szCs w:val="21"/>
                <w:lang w:eastAsia="zh-CN"/>
                <w14:textFill>
                  <w14:solidFill>
                    <w14:schemeClr w14:val="tx1"/>
                  </w14:solidFill>
                </w14:textFill>
              </w:rPr>
            </w:pPr>
            <w:r>
              <w:rPr>
                <w:rFonts w:ascii="Times New Roman" w:hAnsi="Times New Roman" w:eastAsia="宋体"/>
                <w:bCs/>
                <w:color w:val="000000" w:themeColor="text1"/>
                <w:szCs w:val="21"/>
                <w:lang w:eastAsia="zh-CN"/>
                <w14:textFill>
                  <w14:solidFill>
                    <w14:schemeClr w14:val="tx1"/>
                  </w14:solidFill>
                </w14:textFill>
              </w:rPr>
              <w:t xml:space="preserve">4.6.4 </w:t>
            </w:r>
            <w:r>
              <w:rPr>
                <w:rFonts w:ascii="Times New Roman" w:hAnsi="Times New Roman" w:eastAsia="宋体"/>
                <w:bCs/>
                <w:snapToGrid w:val="0"/>
                <w:color w:val="000000"/>
                <w:szCs w:val="21"/>
                <w:lang w:eastAsia="zh-CN"/>
              </w:rPr>
              <w:t>内置</w:t>
            </w:r>
            <w:r>
              <w:rPr>
                <w:rFonts w:ascii="Times New Roman" w:hAnsi="Times New Roman" w:eastAsia="宋体"/>
                <w:bCs/>
                <w:color w:val="000000" w:themeColor="text1"/>
                <w:szCs w:val="21"/>
                <w:lang w:eastAsia="zh-CN"/>
                <w14:textFill>
                  <w14:solidFill>
                    <w14:schemeClr w14:val="tx1"/>
                  </w14:solidFill>
                </w14:textFill>
              </w:rPr>
              <w:t>在线脱气机：在线真空脱气，其中两通道对进样清洗液脱气</w:t>
            </w:r>
            <w:r>
              <w:rPr>
                <w:rFonts w:hint="eastAsia" w:ascii="Times New Roman" w:hAnsi="Times New Roman" w:eastAsia="宋体"/>
                <w:bCs/>
                <w:color w:val="000000" w:themeColor="text1"/>
                <w:szCs w:val="21"/>
                <w:lang w:eastAsia="zh-CN"/>
                <w14:textFill>
                  <w14:solidFill>
                    <w14:schemeClr w14:val="tx1"/>
                  </w14:solidFill>
                </w14:textFill>
              </w:rPr>
              <w:t>；</w:t>
            </w:r>
            <w:r>
              <w:rPr>
                <w:rFonts w:ascii="Times New Roman" w:hAnsi="Times New Roman" w:eastAsia="宋体"/>
                <w:bCs/>
                <w:color w:val="000000" w:themeColor="text1"/>
                <w:szCs w:val="21"/>
                <w:lang w:eastAsia="zh-CN"/>
                <w14:textFill>
                  <w14:solidFill>
                    <w14:schemeClr w14:val="tx1"/>
                  </w14:solidFill>
                </w14:textFill>
              </w:rPr>
              <w:t xml:space="preserve"> </w:t>
            </w:r>
          </w:p>
          <w:p>
            <w:pPr>
              <w:autoSpaceDE w:val="0"/>
              <w:autoSpaceDN w:val="0"/>
              <w:spacing w:line="440" w:lineRule="exact"/>
              <w:ind w:left="550" w:leftChars="12" w:hanging="525" w:hangingChars="250"/>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 xml:space="preserve">4.6.5 </w:t>
            </w:r>
            <w:r>
              <w:rPr>
                <w:rFonts w:ascii="Times New Roman" w:hAnsi="Times New Roman" w:eastAsia="宋体"/>
                <w:snapToGrid w:val="0"/>
                <w:color w:val="000000"/>
                <w:szCs w:val="21"/>
                <w:lang w:eastAsia="zh-CN"/>
              </w:rPr>
              <w:t>▲</w:t>
            </w:r>
            <w:r>
              <w:rPr>
                <w:rFonts w:ascii="Times New Roman" w:hAnsi="Times New Roman" w:eastAsia="宋体"/>
                <w:color w:val="000000" w:themeColor="text1"/>
                <w:szCs w:val="21"/>
                <w:lang w:eastAsia="zh-CN"/>
                <w14:textFill>
                  <w14:solidFill>
                    <w14:schemeClr w14:val="tx1"/>
                  </w14:solidFill>
                </w14:textFill>
              </w:rPr>
              <w:t xml:space="preserve">梯度模式：软件内置11种梯度曲线(线性梯度, 2 种步进梯度, 4 种凹形梯度, 4 种凸形梯度) </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 xml:space="preserve"> 样品管理系统</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.1样品数量：96x2ml</w:t>
            </w:r>
            <w:r>
              <w:rPr>
                <w:rFonts w:hint="eastAsia" w:ascii="Times New Roman" w:hAnsi="Times New Roman" w:eastAsia="宋体"/>
                <w:color w:val="000000" w:themeColor="text1"/>
                <w:szCs w:val="21"/>
                <w:lang w:eastAsia="zh-CN"/>
                <w14:textFill>
                  <w14:solidFill>
                    <w14:schemeClr w14:val="tx1"/>
                  </w14:solidFill>
                </w14:textFill>
              </w:rPr>
              <w:t>；</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.2进样范围：0.1-10 µL</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.3 进样次数：每个样品1—99次进样</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.4 进样精度：≤0.5%RSD</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.5 进样线性度：&gt;0.999</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.6 样品控制温度：4-40</w:t>
            </w:r>
            <w:r>
              <w:rPr>
                <w:rFonts w:hint="eastAsia" w:ascii="宋体" w:hAnsi="宋体" w:eastAsia="宋体" w:cs="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6</w:t>
            </w:r>
            <w:r>
              <w:rPr>
                <w:rFonts w:ascii="Times New Roman" w:hAnsi="Times New Roman" w:eastAsia="宋体"/>
                <w:color w:val="000000" w:themeColor="text1"/>
                <w:szCs w:val="21"/>
                <w:lang w:eastAsia="zh-CN"/>
                <w14:textFill>
                  <w14:solidFill>
                    <w14:schemeClr w14:val="tx1"/>
                  </w14:solidFill>
                </w14:textFill>
              </w:rPr>
              <w:t>.7 样品污染度：典型≤0.004%</w:t>
            </w:r>
            <w:r>
              <w:rPr>
                <w:rFonts w:hint="eastAsia" w:ascii="Times New Roman" w:hAnsi="Times New Roman" w:eastAsia="宋体"/>
                <w:color w:val="000000" w:themeColor="text1"/>
                <w:szCs w:val="21"/>
                <w:lang w:eastAsia="zh-CN"/>
                <w14:textFill>
                  <w14:solidFill>
                    <w14:schemeClr w14:val="tx1"/>
                  </w14:solidFill>
                </w14:textFill>
              </w:rPr>
              <w:t>。</w:t>
            </w:r>
          </w:p>
          <w:p>
            <w:pPr>
              <w:tabs>
                <w:tab w:val="left" w:pos="2880"/>
                <w:tab w:val="left" w:pos="3420"/>
              </w:tabs>
              <w:autoSpaceDE w:val="0"/>
              <w:autoSpaceDN w:val="0"/>
              <w:adjustRightInd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7</w:t>
            </w:r>
            <w:r>
              <w:rPr>
                <w:rFonts w:ascii="Times New Roman" w:hAnsi="Times New Roman" w:eastAsia="宋体"/>
                <w:color w:val="000000" w:themeColor="text1"/>
                <w:szCs w:val="21"/>
                <w:lang w:eastAsia="zh-CN"/>
                <w14:textFill>
                  <w14:solidFill>
                    <w14:schemeClr w14:val="tx1"/>
                  </w14:solidFill>
                </w14:textFill>
              </w:rPr>
              <w:t xml:space="preserve"> 柱温箱</w:t>
            </w:r>
          </w:p>
          <w:p>
            <w:pPr>
              <w:autoSpaceDE w:val="0"/>
              <w:autoSpaceDN w:val="0"/>
              <w:spacing w:line="440" w:lineRule="exact"/>
              <w:rPr>
                <w:rFonts w:ascii="Times New Roman" w:hAnsi="Times New Roman" w:eastAsia="宋体"/>
                <w:color w:val="000000" w:themeColor="text1"/>
                <w:szCs w:val="21"/>
                <w:lang w:eastAsia="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7</w:t>
            </w:r>
            <w:r>
              <w:rPr>
                <w:rFonts w:ascii="Times New Roman" w:hAnsi="Times New Roman" w:eastAsia="宋体"/>
                <w:color w:val="000000" w:themeColor="text1"/>
                <w:szCs w:val="21"/>
                <w:lang w:eastAsia="zh-CN"/>
                <w14:textFill>
                  <w14:solidFill>
                    <w14:schemeClr w14:val="tx1"/>
                  </w14:solidFill>
                </w14:textFill>
              </w:rPr>
              <w:t>.1控温范围：室温-90</w:t>
            </w:r>
            <w:r>
              <w:rPr>
                <w:rFonts w:hint="eastAsia" w:ascii="宋体" w:hAnsi="宋体" w:eastAsia="宋体" w:cs="宋体"/>
                <w:color w:val="000000" w:themeColor="text1"/>
                <w:szCs w:val="21"/>
                <w:lang w:eastAsia="zh-CN"/>
                <w14:textFill>
                  <w14:solidFill>
                    <w14:schemeClr w14:val="tx1"/>
                  </w14:solidFill>
                </w14:textFill>
              </w:rPr>
              <w:t>℃；</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ascii="Times New Roman" w:hAnsi="Times New Roman" w:eastAsia="宋体"/>
                <w:color w:val="000000" w:themeColor="text1"/>
                <w:szCs w:val="21"/>
                <w:lang w:eastAsia="zh-CN"/>
                <w14:textFill>
                  <w14:solidFill>
                    <w14:schemeClr w14:val="tx1"/>
                  </w14:solidFill>
                </w14:textFill>
              </w:rPr>
              <w:t>4.6.</w:t>
            </w:r>
            <w:r>
              <w:rPr>
                <w:rFonts w:hint="eastAsia" w:ascii="Times New Roman" w:hAnsi="Times New Roman" w:eastAsia="宋体"/>
                <w:color w:val="000000" w:themeColor="text1"/>
                <w:szCs w:val="21"/>
                <w:lang w:eastAsia="zh-CN"/>
                <w14:textFill>
                  <w14:solidFill>
                    <w14:schemeClr w14:val="tx1"/>
                  </w14:solidFill>
                </w14:textFill>
              </w:rPr>
              <w:t>7</w:t>
            </w:r>
            <w:r>
              <w:rPr>
                <w:rFonts w:ascii="Times New Roman" w:hAnsi="Times New Roman" w:eastAsia="宋体"/>
                <w:color w:val="000000" w:themeColor="text1"/>
                <w:szCs w:val="21"/>
                <w:lang w:eastAsia="zh-CN"/>
                <w14:textFill>
                  <w14:solidFill>
                    <w14:schemeClr w14:val="tx1"/>
                  </w14:solidFill>
                </w14:textFill>
              </w:rPr>
              <w:t>.2 控温精度：±0.3</w:t>
            </w:r>
            <w:r>
              <w:rPr>
                <w:rFonts w:hint="eastAsia" w:ascii="宋体" w:hAnsi="宋体" w:eastAsia="宋体" w:cs="宋体"/>
                <w:color w:val="000000" w:themeColor="text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cs="宋体" w:asciiTheme="minorEastAsia" w:hAnsiTheme="minorEastAsia"/>
                <w:color w:val="000000" w:themeColor="text1"/>
                <w:kern w:val="0"/>
                <w:sz w:val="24"/>
                <w:szCs w:val="24"/>
                <w:lang w:val="zh-CN" w:eastAsia="zh-CN" w:bidi="zh-CN"/>
                <w14:textFill>
                  <w14:solidFill>
                    <w14:schemeClr w14:val="tx1"/>
                  </w14:solidFill>
                </w14:textFill>
              </w:rPr>
              <w:t>用于痕量有机化合物的</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精确定量</w:t>
            </w:r>
            <w:r>
              <w:rPr>
                <w:rFonts w:cs="宋体" w:asciiTheme="minorEastAsia" w:hAnsiTheme="minorEastAsia"/>
                <w:color w:val="000000" w:themeColor="text1"/>
                <w:kern w:val="0"/>
                <w:sz w:val="24"/>
                <w:szCs w:val="24"/>
                <w:lang w:val="zh-CN" w:eastAsia="zh-CN" w:bidi="zh-CN"/>
                <w14:textFill>
                  <w14:solidFill>
                    <w14:schemeClr w14:val="tx1"/>
                  </w14:solidFill>
                </w14:textFill>
              </w:rPr>
              <w:t>分析，如</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靶向代谢组</w:t>
            </w:r>
            <w:r>
              <w:rPr>
                <w:rFonts w:cs="宋体" w:asciiTheme="minorEastAsia" w:hAnsiTheme="minorEastAsia"/>
                <w:color w:val="000000" w:themeColor="text1"/>
                <w:kern w:val="0"/>
                <w:sz w:val="24"/>
                <w:szCs w:val="24"/>
                <w:lang w:val="zh-CN" w:eastAsia="zh-CN" w:bidi="zh-CN"/>
                <w14:textFill>
                  <w14:solidFill>
                    <w14:schemeClr w14:val="tx1"/>
                  </w14:solidFill>
                </w14:textFill>
              </w:rPr>
              <w:t>，</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动物营养,药物分析，</w:t>
            </w:r>
            <w:r>
              <w:rPr>
                <w:rFonts w:cs="宋体" w:asciiTheme="minorEastAsia" w:hAnsiTheme="minorEastAsia"/>
                <w:color w:val="000000" w:themeColor="text1"/>
                <w:kern w:val="0"/>
                <w:sz w:val="24"/>
                <w:szCs w:val="24"/>
                <w:lang w:val="zh-CN" w:eastAsia="zh-CN" w:bidi="zh-CN"/>
                <w14:textFill>
                  <w14:solidFill>
                    <w14:schemeClr w14:val="tx1"/>
                  </w14:solidFill>
                </w14:textFill>
              </w:rPr>
              <w:t>食品安全，非法添加物和违禁添加药物分析，环境中有毒有害物质等样品的定性、定量及确证分析；符合国际、国内相关标准和法规的要求。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应用</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范围</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靶向代谢组</w:t>
            </w:r>
            <w:r>
              <w:rPr>
                <w:rFonts w:cs="宋体" w:asciiTheme="minorEastAsia" w:hAnsiTheme="minorEastAsia"/>
                <w:color w:val="000000" w:themeColor="text1"/>
                <w:kern w:val="0"/>
                <w:sz w:val="24"/>
                <w:szCs w:val="24"/>
                <w:lang w:val="zh-CN" w:eastAsia="zh-CN" w:bidi="zh-CN"/>
                <w14:textFill>
                  <w14:solidFill>
                    <w14:schemeClr w14:val="tx1"/>
                  </w14:solidFill>
                </w14:textFill>
              </w:rPr>
              <w:t>，</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动物营养,药物分析，</w:t>
            </w:r>
            <w:r>
              <w:rPr>
                <w:rFonts w:cs="宋体" w:asciiTheme="minorEastAsia" w:hAnsiTheme="minorEastAsia"/>
                <w:color w:val="000000" w:themeColor="text1"/>
                <w:kern w:val="0"/>
                <w:sz w:val="24"/>
                <w:szCs w:val="24"/>
                <w:lang w:val="zh-CN" w:eastAsia="zh-CN" w:bidi="zh-CN"/>
                <w14:textFill>
                  <w14:solidFill>
                    <w14:schemeClr w14:val="tx1"/>
                  </w14:solidFill>
                </w14:textFill>
              </w:rPr>
              <w:t>食品安全，非法添加物和违禁添加药物分析，环境中有毒有害物质等样品的定性、定量及确证分析</w:t>
            </w:r>
            <w:r>
              <w:rPr>
                <w:rFonts w:hint="eastAsia" w:cs="宋体" w:asciiTheme="minorEastAsia" w:hAnsiTheme="minorEastAsia"/>
                <w:color w:val="000000" w:themeColor="text1"/>
                <w:kern w:val="0"/>
                <w:sz w:val="24"/>
                <w:szCs w:val="24"/>
                <w:lang w:val="zh-CN" w:eastAsia="zh-CN" w:bidi="zh-CN"/>
                <w14:textFill>
                  <w14:solidFill>
                    <w14:schemeClr w14:val="tx1"/>
                  </w14:solidFill>
                </w14:textFill>
              </w:rPr>
              <w:t>等。</w:t>
            </w:r>
          </w:p>
        </w:tc>
      </w:tr>
    </w:tbl>
    <w:p>
      <w:pPr>
        <w:widowControl/>
        <w:spacing w:line="240" w:lineRule="auto"/>
        <w:rPr>
          <w:rFonts w:hint="eastAsia" w:asciiTheme="minorEastAsia" w:hAnsiTheme="minorEastAsia"/>
          <w:color w:val="000000" w:themeColor="text1"/>
          <w:sz w:val="24"/>
          <w:szCs w:val="24"/>
          <w14:textFill>
            <w14:solidFill>
              <w14:schemeClr w14:val="tx1"/>
            </w14:solidFill>
          </w14:textFill>
        </w:rPr>
      </w:pPr>
    </w:p>
    <w:p>
      <w:pPr>
        <w:widowControl/>
        <w:spacing w:line="240" w:lineRule="auto"/>
        <w:ind w:firstLine="0" w:firstLineChars="0"/>
        <w:rPr>
          <w:rFonts w:asciiTheme="minorEastAsia" w:hAnsiTheme="minorEastAsia"/>
          <w:color w:val="000000" w:themeColor="text1"/>
          <w:sz w:val="24"/>
          <w:szCs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1" w:name="_GoBack"/>
    <w:bookmarkEnd w:id="1"/>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GEwMDJiZTk0YmQ5MWFiMmViMzRkZWYxNGYyYWQifQ=="/>
  </w:docVars>
  <w:rsids>
    <w:rsidRoot w:val="00E26EEF"/>
    <w:rsid w:val="000061C2"/>
    <w:rsid w:val="0001197C"/>
    <w:rsid w:val="00016D51"/>
    <w:rsid w:val="00021AFF"/>
    <w:rsid w:val="000261FC"/>
    <w:rsid w:val="00035A5B"/>
    <w:rsid w:val="000404C5"/>
    <w:rsid w:val="00046598"/>
    <w:rsid w:val="00070F16"/>
    <w:rsid w:val="0007300E"/>
    <w:rsid w:val="00073D4A"/>
    <w:rsid w:val="00077241"/>
    <w:rsid w:val="00085252"/>
    <w:rsid w:val="000A0ED6"/>
    <w:rsid w:val="000B0A66"/>
    <w:rsid w:val="000C43EB"/>
    <w:rsid w:val="000D0BAB"/>
    <w:rsid w:val="000E5F22"/>
    <w:rsid w:val="000F0D45"/>
    <w:rsid w:val="000F3EB3"/>
    <w:rsid w:val="000F54E5"/>
    <w:rsid w:val="00111248"/>
    <w:rsid w:val="00127EA5"/>
    <w:rsid w:val="00133C25"/>
    <w:rsid w:val="0013449F"/>
    <w:rsid w:val="00161717"/>
    <w:rsid w:val="00184DBE"/>
    <w:rsid w:val="00191D65"/>
    <w:rsid w:val="001964B5"/>
    <w:rsid w:val="001A37C1"/>
    <w:rsid w:val="001B0335"/>
    <w:rsid w:val="001B30DE"/>
    <w:rsid w:val="001B4472"/>
    <w:rsid w:val="001B4607"/>
    <w:rsid w:val="001B6D60"/>
    <w:rsid w:val="001E1BEA"/>
    <w:rsid w:val="001E3754"/>
    <w:rsid w:val="00200327"/>
    <w:rsid w:val="00231E5A"/>
    <w:rsid w:val="002576CE"/>
    <w:rsid w:val="00257A5B"/>
    <w:rsid w:val="00263913"/>
    <w:rsid w:val="00264CCE"/>
    <w:rsid w:val="00273736"/>
    <w:rsid w:val="00280449"/>
    <w:rsid w:val="0029545C"/>
    <w:rsid w:val="002A52A1"/>
    <w:rsid w:val="002B08A0"/>
    <w:rsid w:val="002B256D"/>
    <w:rsid w:val="002B3673"/>
    <w:rsid w:val="002E51A4"/>
    <w:rsid w:val="002F27D9"/>
    <w:rsid w:val="002F27DE"/>
    <w:rsid w:val="002F2B16"/>
    <w:rsid w:val="002F34DE"/>
    <w:rsid w:val="00302633"/>
    <w:rsid w:val="003027E1"/>
    <w:rsid w:val="00303D63"/>
    <w:rsid w:val="00320837"/>
    <w:rsid w:val="003214F7"/>
    <w:rsid w:val="00324825"/>
    <w:rsid w:val="00331C34"/>
    <w:rsid w:val="003329F5"/>
    <w:rsid w:val="0034303C"/>
    <w:rsid w:val="00355FB3"/>
    <w:rsid w:val="003577B2"/>
    <w:rsid w:val="00396BB3"/>
    <w:rsid w:val="003B42DF"/>
    <w:rsid w:val="003B783D"/>
    <w:rsid w:val="003C4D99"/>
    <w:rsid w:val="003C59DF"/>
    <w:rsid w:val="003C73E5"/>
    <w:rsid w:val="003D1653"/>
    <w:rsid w:val="003E5FC2"/>
    <w:rsid w:val="003F175F"/>
    <w:rsid w:val="00410DBA"/>
    <w:rsid w:val="00421B62"/>
    <w:rsid w:val="004257A5"/>
    <w:rsid w:val="004518B9"/>
    <w:rsid w:val="0046185D"/>
    <w:rsid w:val="004637E6"/>
    <w:rsid w:val="00466EDF"/>
    <w:rsid w:val="00467278"/>
    <w:rsid w:val="00482C04"/>
    <w:rsid w:val="0048373D"/>
    <w:rsid w:val="004864A7"/>
    <w:rsid w:val="004A79A4"/>
    <w:rsid w:val="004C3144"/>
    <w:rsid w:val="004C7098"/>
    <w:rsid w:val="004D1D3B"/>
    <w:rsid w:val="004E3145"/>
    <w:rsid w:val="004E4754"/>
    <w:rsid w:val="004E70E7"/>
    <w:rsid w:val="004F3CF9"/>
    <w:rsid w:val="005005C0"/>
    <w:rsid w:val="00521E0F"/>
    <w:rsid w:val="005223AC"/>
    <w:rsid w:val="0054238A"/>
    <w:rsid w:val="005455F7"/>
    <w:rsid w:val="00565BE3"/>
    <w:rsid w:val="00585417"/>
    <w:rsid w:val="005918D1"/>
    <w:rsid w:val="00593333"/>
    <w:rsid w:val="00596C6F"/>
    <w:rsid w:val="005A360F"/>
    <w:rsid w:val="005A54A9"/>
    <w:rsid w:val="005A7EE8"/>
    <w:rsid w:val="005B5AE1"/>
    <w:rsid w:val="005C3650"/>
    <w:rsid w:val="005D2DF5"/>
    <w:rsid w:val="005F1037"/>
    <w:rsid w:val="005F1735"/>
    <w:rsid w:val="005F20CC"/>
    <w:rsid w:val="00621017"/>
    <w:rsid w:val="0063615B"/>
    <w:rsid w:val="00636207"/>
    <w:rsid w:val="00671AEB"/>
    <w:rsid w:val="00676044"/>
    <w:rsid w:val="006A7CBF"/>
    <w:rsid w:val="006B1E86"/>
    <w:rsid w:val="006D492A"/>
    <w:rsid w:val="006E1574"/>
    <w:rsid w:val="006E267A"/>
    <w:rsid w:val="006E3111"/>
    <w:rsid w:val="006E554A"/>
    <w:rsid w:val="00715619"/>
    <w:rsid w:val="00715FAB"/>
    <w:rsid w:val="0074252F"/>
    <w:rsid w:val="0077790C"/>
    <w:rsid w:val="0078516A"/>
    <w:rsid w:val="00786644"/>
    <w:rsid w:val="007A5430"/>
    <w:rsid w:val="007A5E7A"/>
    <w:rsid w:val="007B0C7A"/>
    <w:rsid w:val="007B0F53"/>
    <w:rsid w:val="007C3955"/>
    <w:rsid w:val="007C3E58"/>
    <w:rsid w:val="007C7ECC"/>
    <w:rsid w:val="007D55DC"/>
    <w:rsid w:val="007E17FD"/>
    <w:rsid w:val="007F0427"/>
    <w:rsid w:val="008007D0"/>
    <w:rsid w:val="00800839"/>
    <w:rsid w:val="00801B5D"/>
    <w:rsid w:val="008117C4"/>
    <w:rsid w:val="008149CF"/>
    <w:rsid w:val="00814EE1"/>
    <w:rsid w:val="00816481"/>
    <w:rsid w:val="00832129"/>
    <w:rsid w:val="00835F62"/>
    <w:rsid w:val="00854AB1"/>
    <w:rsid w:val="0086235D"/>
    <w:rsid w:val="00864CFD"/>
    <w:rsid w:val="008660D6"/>
    <w:rsid w:val="00867B14"/>
    <w:rsid w:val="00880BBF"/>
    <w:rsid w:val="00882873"/>
    <w:rsid w:val="00892AD8"/>
    <w:rsid w:val="008975F8"/>
    <w:rsid w:val="00897F60"/>
    <w:rsid w:val="008A6AA0"/>
    <w:rsid w:val="008C45F9"/>
    <w:rsid w:val="008D0E65"/>
    <w:rsid w:val="008D190E"/>
    <w:rsid w:val="008D2676"/>
    <w:rsid w:val="008E0200"/>
    <w:rsid w:val="008E1123"/>
    <w:rsid w:val="008E135D"/>
    <w:rsid w:val="009177AD"/>
    <w:rsid w:val="0093651D"/>
    <w:rsid w:val="00936602"/>
    <w:rsid w:val="009447CB"/>
    <w:rsid w:val="0096120B"/>
    <w:rsid w:val="00985130"/>
    <w:rsid w:val="009A61EF"/>
    <w:rsid w:val="009E75E6"/>
    <w:rsid w:val="009F3143"/>
    <w:rsid w:val="009F758B"/>
    <w:rsid w:val="00A14E00"/>
    <w:rsid w:val="00A248A1"/>
    <w:rsid w:val="00A447CF"/>
    <w:rsid w:val="00A646F1"/>
    <w:rsid w:val="00A64C23"/>
    <w:rsid w:val="00A709BF"/>
    <w:rsid w:val="00A70E20"/>
    <w:rsid w:val="00A80992"/>
    <w:rsid w:val="00A8154D"/>
    <w:rsid w:val="00A91786"/>
    <w:rsid w:val="00A928DE"/>
    <w:rsid w:val="00AA0B21"/>
    <w:rsid w:val="00AA2C47"/>
    <w:rsid w:val="00AC10EE"/>
    <w:rsid w:val="00AC7F0F"/>
    <w:rsid w:val="00AD0D96"/>
    <w:rsid w:val="00AD436F"/>
    <w:rsid w:val="00AE350A"/>
    <w:rsid w:val="00AE73A7"/>
    <w:rsid w:val="00B014BC"/>
    <w:rsid w:val="00B15418"/>
    <w:rsid w:val="00B208CC"/>
    <w:rsid w:val="00B358F7"/>
    <w:rsid w:val="00B42359"/>
    <w:rsid w:val="00B459D5"/>
    <w:rsid w:val="00B46738"/>
    <w:rsid w:val="00B53757"/>
    <w:rsid w:val="00B75634"/>
    <w:rsid w:val="00B760A7"/>
    <w:rsid w:val="00B800FC"/>
    <w:rsid w:val="00B91184"/>
    <w:rsid w:val="00B94A57"/>
    <w:rsid w:val="00BA5563"/>
    <w:rsid w:val="00BA7998"/>
    <w:rsid w:val="00BB25A2"/>
    <w:rsid w:val="00BB35D6"/>
    <w:rsid w:val="00BD5CBA"/>
    <w:rsid w:val="00C00C16"/>
    <w:rsid w:val="00C407ED"/>
    <w:rsid w:val="00C43A8B"/>
    <w:rsid w:val="00C57A1E"/>
    <w:rsid w:val="00C6734E"/>
    <w:rsid w:val="00C71C04"/>
    <w:rsid w:val="00C7653C"/>
    <w:rsid w:val="00C866AC"/>
    <w:rsid w:val="00C95447"/>
    <w:rsid w:val="00CB139B"/>
    <w:rsid w:val="00CB44F9"/>
    <w:rsid w:val="00CD7415"/>
    <w:rsid w:val="00CE2B1B"/>
    <w:rsid w:val="00CE4BD0"/>
    <w:rsid w:val="00CF0914"/>
    <w:rsid w:val="00CF22AF"/>
    <w:rsid w:val="00CF71B2"/>
    <w:rsid w:val="00D01C7C"/>
    <w:rsid w:val="00D15424"/>
    <w:rsid w:val="00D324D1"/>
    <w:rsid w:val="00D352EA"/>
    <w:rsid w:val="00D57A7D"/>
    <w:rsid w:val="00D60843"/>
    <w:rsid w:val="00D87C45"/>
    <w:rsid w:val="00DA0924"/>
    <w:rsid w:val="00DA1DD0"/>
    <w:rsid w:val="00DA6C71"/>
    <w:rsid w:val="00DC25E4"/>
    <w:rsid w:val="00DC4533"/>
    <w:rsid w:val="00DC50E5"/>
    <w:rsid w:val="00DD55F8"/>
    <w:rsid w:val="00DE6D3D"/>
    <w:rsid w:val="00E014B0"/>
    <w:rsid w:val="00E26EEF"/>
    <w:rsid w:val="00E377EE"/>
    <w:rsid w:val="00E41037"/>
    <w:rsid w:val="00E4263A"/>
    <w:rsid w:val="00E42722"/>
    <w:rsid w:val="00E43260"/>
    <w:rsid w:val="00E646AA"/>
    <w:rsid w:val="00E82138"/>
    <w:rsid w:val="00E825F3"/>
    <w:rsid w:val="00E84713"/>
    <w:rsid w:val="00E85A32"/>
    <w:rsid w:val="00EB54A7"/>
    <w:rsid w:val="00EC0B32"/>
    <w:rsid w:val="00ED02B1"/>
    <w:rsid w:val="00EF5149"/>
    <w:rsid w:val="00EF55A3"/>
    <w:rsid w:val="00F04AF4"/>
    <w:rsid w:val="00F43232"/>
    <w:rsid w:val="00F664FB"/>
    <w:rsid w:val="00F670BC"/>
    <w:rsid w:val="00F85653"/>
    <w:rsid w:val="00F95715"/>
    <w:rsid w:val="00F9778D"/>
    <w:rsid w:val="00FB2327"/>
    <w:rsid w:val="00FC53A3"/>
    <w:rsid w:val="00FC5E6D"/>
    <w:rsid w:val="00FD1918"/>
    <w:rsid w:val="00FE3592"/>
    <w:rsid w:val="00FF4893"/>
    <w:rsid w:val="00FF55A9"/>
    <w:rsid w:val="02F30990"/>
    <w:rsid w:val="1AE14356"/>
    <w:rsid w:val="1BB31B29"/>
    <w:rsid w:val="1D020C7F"/>
    <w:rsid w:val="32905BA8"/>
    <w:rsid w:val="35920F0B"/>
    <w:rsid w:val="36C02C1A"/>
    <w:rsid w:val="37FF3EB7"/>
    <w:rsid w:val="54D97359"/>
    <w:rsid w:val="571B1AC7"/>
    <w:rsid w:val="57AB43E4"/>
    <w:rsid w:val="5E3928E2"/>
    <w:rsid w:val="5E70660C"/>
    <w:rsid w:val="5FD03D88"/>
    <w:rsid w:val="6175447D"/>
    <w:rsid w:val="687E6A5D"/>
    <w:rsid w:val="727B7BEE"/>
    <w:rsid w:val="76841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autoRedefine/>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8"/>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semiHidden/>
    <w:unhideWhenUsed/>
    <w:qFormat/>
    <w:uiPriority w:val="0"/>
    <w:pPr>
      <w:widowControl/>
      <w:jc w:val="both"/>
    </w:pPr>
    <w:rPr>
      <w:rFonts w:ascii="Arial" w:hAnsi="Arial" w:eastAsia="宋体" w:cs="Times New Roman"/>
      <w:kern w:val="0"/>
      <w:sz w:val="18"/>
      <w:szCs w:val="20"/>
      <w:lang w:eastAsia="ja-JP"/>
    </w:rPr>
  </w:style>
  <w:style w:type="paragraph" w:styleId="7">
    <w:name w:val="Balloon Text"/>
    <w:basedOn w:val="1"/>
    <w:link w:val="27"/>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link w:val="16"/>
    <w:autoRedefine/>
    <w:qFormat/>
    <w:uiPriority w:val="0"/>
    <w:pPr>
      <w:jc w:val="center"/>
    </w:pPr>
    <w:rPr>
      <w:sz w:val="30"/>
      <w:szCs w:val="24"/>
    </w:rPr>
  </w:style>
  <w:style w:type="character" w:customStyle="1" w:styleId="13">
    <w:name w:val="标题 1 字符"/>
    <w:basedOn w:val="12"/>
    <w:link w:val="2"/>
    <w:autoRedefine/>
    <w:qFormat/>
    <w:uiPriority w:val="9"/>
    <w:rPr>
      <w:b/>
      <w:bCs/>
      <w:kern w:val="44"/>
      <w:sz w:val="44"/>
      <w:szCs w:val="44"/>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3 字符"/>
    <w:basedOn w:val="12"/>
    <w:link w:val="4"/>
    <w:autoRedefine/>
    <w:qFormat/>
    <w:uiPriority w:val="9"/>
    <w:rPr>
      <w:b/>
      <w:bCs/>
      <w:sz w:val="32"/>
      <w:szCs w:val="32"/>
    </w:rPr>
  </w:style>
  <w:style w:type="character" w:customStyle="1" w:styleId="16">
    <w:name w:val="标题 字符"/>
    <w:link w:val="10"/>
    <w:autoRedefine/>
    <w:qFormat/>
    <w:uiPriority w:val="0"/>
    <w:rPr>
      <w:sz w:val="30"/>
      <w:szCs w:val="24"/>
    </w:rPr>
  </w:style>
  <w:style w:type="paragraph" w:customStyle="1" w:styleId="17">
    <w:name w:val="宋四一级"/>
    <w:autoRedefine/>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8">
    <w:name w:val="标题 4 字符"/>
    <w:basedOn w:val="12"/>
    <w:link w:val="5"/>
    <w:autoRedefine/>
    <w:qFormat/>
    <w:uiPriority w:val="0"/>
    <w:rPr>
      <w:rFonts w:hAnsi="Arial" w:cs="Times New Roman" w:asciiTheme="majorEastAsia" w:eastAsiaTheme="majorEastAsia"/>
      <w:b/>
      <w:bCs/>
      <w:sz w:val="24"/>
      <w:szCs w:val="28"/>
    </w:rPr>
  </w:style>
  <w:style w:type="character" w:customStyle="1" w:styleId="19">
    <w:name w:val="页眉 字符"/>
    <w:basedOn w:val="12"/>
    <w:link w:val="9"/>
    <w:autoRedefine/>
    <w:qFormat/>
    <w:uiPriority w:val="99"/>
    <w:rPr>
      <w:sz w:val="18"/>
      <w:szCs w:val="18"/>
    </w:rPr>
  </w:style>
  <w:style w:type="character" w:customStyle="1" w:styleId="20">
    <w:name w:val="页脚 字符"/>
    <w:basedOn w:val="12"/>
    <w:link w:val="8"/>
    <w:autoRedefine/>
    <w:qFormat/>
    <w:uiPriority w:val="99"/>
    <w:rPr>
      <w:sz w:val="18"/>
      <w:szCs w:val="18"/>
    </w:rPr>
  </w:style>
  <w:style w:type="table" w:customStyle="1" w:styleId="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2">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3">
    <w:name w:val="Table Paragraph"/>
    <w:basedOn w:val="1"/>
    <w:autoRedefine/>
    <w:qFormat/>
    <w:uiPriority w:val="1"/>
    <w:pPr>
      <w:autoSpaceDE w:val="0"/>
      <w:autoSpaceDN w:val="0"/>
    </w:pPr>
    <w:rPr>
      <w:rFonts w:ascii="宋体" w:hAnsi="宋体" w:eastAsia="宋体" w:cs="宋体"/>
      <w:kern w:val="0"/>
      <w:sz w:val="22"/>
      <w:lang w:val="zh-CN" w:bidi="zh-CN"/>
    </w:rPr>
  </w:style>
  <w:style w:type="table" w:customStyle="1" w:styleId="24">
    <w:name w:val="Table Normal2"/>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5">
    <w:name w:val="Table Normal3"/>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6">
    <w:name w:val="List Paragraph"/>
    <w:basedOn w:val="1"/>
    <w:autoRedefine/>
    <w:qFormat/>
    <w:uiPriority w:val="34"/>
    <w:pPr>
      <w:ind w:firstLine="420" w:firstLineChars="200"/>
    </w:pPr>
  </w:style>
  <w:style w:type="character" w:customStyle="1" w:styleId="27">
    <w:name w:val="批注框文本 字符"/>
    <w:basedOn w:val="12"/>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452</Words>
  <Characters>2580</Characters>
  <Lines>21</Lines>
  <Paragraphs>6</Paragraphs>
  <TotalTime>2</TotalTime>
  <ScaleCrop>false</ScaleCrop>
  <LinksUpToDate>false</LinksUpToDate>
  <CharactersWithSpaces>3026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2021-03-11T02:22:00Z</dcterms:created>
  <dc:creator>Tristan</dc:creator>
  <cp:lastModifiedBy>Administrator</cp:lastModifiedBy>
  <cp:lastPrinted>2024-01-29T01:56:00Z</cp:lastPrinted>
  <dcterms:modified xsi:type="dcterms:W3CDTF">2024-01-31T08:24:22Z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BB10364A7C104136BBE843BC507AD70F_13</vt:lpwstr>
  </property>
</Properties>
</file>