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8" w:line="224" w:lineRule="auto"/>
      </w:pPr>
      <w:r>
        <w:rPr>
          <w:rFonts w:ascii="黑体" w:hAnsi="黑体" w:eastAsia="黑体" w:cs="黑体"/>
          <w:b/>
          <w:bCs/>
          <w:spacing w:val="29"/>
          <w:sz w:val="30"/>
          <w:szCs w:val="30"/>
        </w:rPr>
        <w:t>附件</w:t>
      </w:r>
      <w:r>
        <w:rPr>
          <w:rFonts w:hint="eastAsia" w:ascii="黑体" w:hAnsi="黑体" w:eastAsia="黑体" w:cs="黑体"/>
          <w:b/>
          <w:bCs/>
          <w:spacing w:val="29"/>
          <w:sz w:val="30"/>
          <w:szCs w:val="30"/>
          <w:lang w:eastAsia="zh-CN"/>
        </w:rPr>
        <w:t>：</w:t>
      </w:r>
      <w:r>
        <w:rPr>
          <w:rFonts w:ascii="宋体" w:hAnsi="宋体" w:eastAsia="宋体" w:cs="宋体"/>
          <w:b/>
          <w:bCs/>
          <w:spacing w:val="-4"/>
          <w:sz w:val="23"/>
          <w:szCs w:val="23"/>
        </w:rPr>
        <w:t>气味分析系统</w:t>
      </w:r>
    </w:p>
    <w:p/>
    <w:p/>
    <w:p>
      <w:pPr>
        <w:spacing w:line="17" w:lineRule="exact"/>
      </w:pPr>
    </w:p>
    <w:tbl>
      <w:tblPr>
        <w:tblStyle w:val="4"/>
        <w:tblW w:w="96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4"/>
        <w:gridCol w:w="1109"/>
        <w:gridCol w:w="73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2233" w:type="dxa"/>
            <w:gridSpan w:val="2"/>
            <w:vAlign w:val="top"/>
          </w:tcPr>
          <w:p>
            <w:pPr>
              <w:spacing w:before="191" w:line="219" w:lineRule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3"/>
                <w:szCs w:val="23"/>
              </w:rPr>
              <w:t>仪器设备中文名称</w:t>
            </w:r>
          </w:p>
        </w:tc>
        <w:tc>
          <w:tcPr>
            <w:tcW w:w="7376" w:type="dxa"/>
            <w:vAlign w:val="top"/>
          </w:tcPr>
          <w:p>
            <w:pPr>
              <w:spacing w:before="191" w:line="220" w:lineRule="auto"/>
              <w:ind w:left="2995"/>
              <w:rPr>
                <w:rFonts w:ascii="宋体" w:hAnsi="宋体" w:eastAsia="宋体" w:cs="宋体"/>
                <w:b/>
                <w:bCs/>
                <w:spacing w:val="-4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3"/>
                <w:szCs w:val="23"/>
              </w:rPr>
              <w:t>气味分析系统</w:t>
            </w:r>
          </w:p>
          <w:p>
            <w:pPr>
              <w:tabs>
                <w:tab w:val="left" w:pos="2045"/>
              </w:tabs>
              <w:bidi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233" w:type="dxa"/>
            <w:gridSpan w:val="2"/>
            <w:vAlign w:val="top"/>
          </w:tcPr>
          <w:p>
            <w:pPr>
              <w:spacing w:before="217" w:line="219" w:lineRule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3"/>
                <w:szCs w:val="23"/>
              </w:rPr>
              <w:t>仪器设备外文名称</w:t>
            </w:r>
          </w:p>
        </w:tc>
        <w:tc>
          <w:tcPr>
            <w:tcW w:w="7376" w:type="dxa"/>
            <w:vAlign w:val="top"/>
          </w:tcPr>
          <w:p>
            <w:pPr>
              <w:spacing w:before="214" w:line="215" w:lineRule="auto"/>
              <w:ind w:left="23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GCMS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Off-Flavor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Analyzer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233" w:type="dxa"/>
            <w:gridSpan w:val="2"/>
            <w:vAlign w:val="top"/>
          </w:tcPr>
          <w:p>
            <w:pPr>
              <w:spacing w:before="216" w:line="219" w:lineRule="auto"/>
              <w:rPr>
                <w:rFonts w:hint="default" w:ascii="宋体" w:hAnsi="宋体" w:eastAsia="宋体" w:cs="宋体"/>
                <w:b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23"/>
                <w:szCs w:val="23"/>
                <w:lang w:val="en-US" w:eastAsia="zh-CN"/>
              </w:rPr>
              <w:t>预算金额人民币</w:t>
            </w:r>
          </w:p>
        </w:tc>
        <w:tc>
          <w:tcPr>
            <w:tcW w:w="7376" w:type="dxa"/>
            <w:vAlign w:val="top"/>
          </w:tcPr>
          <w:p>
            <w:pPr>
              <w:spacing w:before="285" w:line="183" w:lineRule="auto"/>
              <w:ind w:left="3101"/>
              <w:rPr>
                <w:rFonts w:ascii="宋体" w:hAnsi="宋体" w:eastAsia="宋体" w:cs="宋体"/>
                <w:b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3"/>
                <w:szCs w:val="23"/>
                <w:lang w:val="en-US" w:eastAsia="zh-CN"/>
              </w:rPr>
              <w:t>110万元/台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233" w:type="dxa"/>
            <w:gridSpan w:val="2"/>
            <w:vAlign w:val="top"/>
          </w:tcPr>
          <w:p>
            <w:pPr>
              <w:spacing w:before="216" w:line="219" w:lineRule="auto"/>
              <w:ind w:left="644"/>
              <w:rPr>
                <w:rFonts w:hint="default" w:ascii="宋体" w:hAnsi="宋体" w:eastAsia="宋体" w:cs="宋体"/>
                <w:b/>
                <w:bCs/>
                <w:spacing w:val="2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23"/>
                <w:szCs w:val="23"/>
                <w:lang w:val="en-US" w:eastAsia="zh-CN"/>
              </w:rPr>
              <w:t>申购单位</w:t>
            </w:r>
          </w:p>
        </w:tc>
        <w:tc>
          <w:tcPr>
            <w:tcW w:w="7376" w:type="dxa"/>
            <w:vAlign w:val="top"/>
          </w:tcPr>
          <w:p>
            <w:pPr>
              <w:spacing w:before="285" w:line="183" w:lineRule="auto"/>
              <w:ind w:left="3101"/>
              <w:rPr>
                <w:rFonts w:hint="default" w:ascii="宋体" w:hAnsi="宋体" w:eastAsia="宋体" w:cs="宋体"/>
                <w:b/>
                <w:bCs/>
                <w:spacing w:val="-1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3"/>
                <w:szCs w:val="23"/>
                <w:lang w:val="en-US" w:eastAsia="zh-CN"/>
              </w:rPr>
              <w:t>农学院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233" w:type="dxa"/>
            <w:gridSpan w:val="2"/>
            <w:vAlign w:val="top"/>
          </w:tcPr>
          <w:p>
            <w:pPr>
              <w:spacing w:before="216" w:line="219" w:lineRule="auto"/>
              <w:ind w:left="644"/>
              <w:rPr>
                <w:rFonts w:hint="default" w:ascii="宋体" w:hAnsi="宋体" w:eastAsia="宋体" w:cs="宋体"/>
                <w:b/>
                <w:bCs/>
                <w:spacing w:val="2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23"/>
                <w:szCs w:val="23"/>
                <w:lang w:val="en-US" w:eastAsia="zh-CN"/>
              </w:rPr>
              <w:t>申购结果</w:t>
            </w:r>
          </w:p>
        </w:tc>
        <w:tc>
          <w:tcPr>
            <w:tcW w:w="7376" w:type="dxa"/>
            <w:vAlign w:val="top"/>
          </w:tcPr>
          <w:p>
            <w:pPr>
              <w:spacing w:before="285" w:line="183" w:lineRule="auto"/>
              <w:ind w:left="3101"/>
              <w:rPr>
                <w:rFonts w:hint="default" w:ascii="宋体" w:hAnsi="宋体" w:eastAsia="宋体" w:cs="宋体"/>
                <w:b/>
                <w:bCs/>
                <w:spacing w:val="-1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3"/>
                <w:szCs w:val="23"/>
                <w:lang w:val="en-US" w:eastAsia="zh-CN"/>
              </w:rPr>
              <w:t>拟同意申购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1" w:hRule="atLeast"/>
        </w:trPr>
        <w:tc>
          <w:tcPr>
            <w:tcW w:w="112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24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5"/>
                <w:position w:val="22"/>
                <w:sz w:val="21"/>
                <w:szCs w:val="21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24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技术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28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1"/>
                <w:szCs w:val="21"/>
              </w:rPr>
              <w:t>指标</w:t>
            </w:r>
          </w:p>
        </w:tc>
        <w:tc>
          <w:tcPr>
            <w:tcW w:w="84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>1 . 工作条件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>1.1.温度：15℃-35℃;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>1.2.湿度：5-95%;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>1.3.电压：220V±10%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>2 . 主机性能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>2.1.▲保留时间重现性&lt;0.008%或&lt;0.0008 min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>2.2.峰面积重现性&lt;0.5% RSD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>2.3.压力设定值和控制精度：0.001 psi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>2.4.▲最多可安装8个EPC模块，可控制多达19个EPC通道，EPC采用微通道设计(非传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>统气阻设计),可以防止颗粒、水汽和油等气体污染物，延长使用寿命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>2.5.可通过仪器自带的彩色触摸屏控制色谱参数设定、故障诊断和质谱启动，无需打开工作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>站软件(提供软件截图并作为验收指标)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>2.6.▲配置7英寸电容式触摸屏界面可实时访问仪器状态、配置和流路信息，可通过仪器自 带的彩色触摸屏控制色谱参数设定、故障诊断和质谱启动，无需打开工作站软件(提供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>软件截图作为证明材料);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>2.7.▲彩色触摸屏具有高灵敏度，为方便实验操作，佩戴橡胶手套时也可完成触控，无需手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>写 笔 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>2.8.可通过移动终端的浏览器页面输入IP地址直连仪器，无需打开工作站软件，即可完成方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>法和序列的编辑和运行；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>3.  柱温箱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>3.1.操作温度：室温以上5℃至450℃;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>3.2.温度设定：1℃,程序升温间隔0.1℃;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>3.3.★最大升温速度：120℃/min,可根据应用需求扩展至700℃/min(须提供技术证明文件，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>加盖制造商公章);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>3.4.程序升温：20阶，21个温度平台，可程序降温；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>3.5.稳定性：&lt;0.01℃/1℃;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>3.6.▲手拧式柱螺帽设计：更换和安装色谱柱手拧即可完成无需工具； 一次性安装保证密封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>性不受柱温箱温度变化-影响；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>4.  分流/不分流进样口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>4.1.最高温度400℃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>4.2.★扳转式顶部密封系统，更换衬管无需拆卸螺丝(需要提供安装实地图片作为作证材料)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>4.3.★压力范围：0-150psi,电子控压精度：0.001 psi(作为验收指标，在控制液晶面板上，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>气体压力以psi为单位，必须在小数点后第3位上波动，提供厂家实际装货机器图片作为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>证明材料)。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>5.  三合一进样器 5.1液体进样功能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>5.1.1.162位液体进样位，2ml样品瓶；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>5.1.2.进样体积：1.2μL到to 10,000μL(需要换针)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>5.2顶空进样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>5.2.1.顶空样品处理量：45位10/20ml样品容量；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>5.2.2.注射器使用惰性载气吹扫，全流路无阀设计；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>5.2.3.配2.5ml注射器，注射体积250-2500μl;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>5.2.4.顶空注射器加热温度：40-150℃: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>5.2.5.6位加热搅拌器：35-200℃,1℃温度增量：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>5.2.6.可以采用2mL,10mL和20mL顶空瓶；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>5.3固相微萃取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>5.3.1.样品处理量：45位10/20mL样品盘；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>5.3.2.液体、顶空SPME两种萃取模式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>5.3.3.6位加热搅拌器：35-200℃,1℃温度增量.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>5.3.4.纤维萃取头的老化：配备专用萃取头老化装置，或者在进样口老化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>6.  质谱检测器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>6.1.▲离子源材料：非涂层惰性离子源，专利的Extractor设计，具备推拉极电压，提高活性化合物灵敏度 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>6.2.★独立的EI源：离子化能量5-230eV;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>6.3.离子源温度：最高达350℃;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>6.4.★四极杆质量分析器：主四极杆为石英镀金共轭双曲面四极杆，能独立温控，最高可达200℃(非预四极杆加热),终身免维护(提供技术文件及软件设定截图，作为验收指标);若 主四极杆无法控温或者为廉价的金属设计，则需额外提供8套四极杆系统作为备用四极杆 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>6.5.★四级杆温度：独立控温,控温范围：106-200℃,用软件可直接连续设定温度；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>6.6.仪器信噪比：EI全扫描&gt;1200:1 s/n(1pg OFN,扫描范围50-300amu)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>6.7.检测器：长寿命高能打拿极，三轴检测器；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>6.8.真空系统：≥250L/s分子涡轮泵；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>6.9.扫描速率：最高可达20000 amu/s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>6.10.质量范围：~1000 Da: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>6.11.质量稳定性：&lt;0.10amu /48h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>6.12.动态范围：106;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>7.  工作站软件及其他性能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>7.1.原装进口操作软件，有中、英文两种语言可供选择，具有正版独立光盘；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>7.2.SIM/SCAN:自动SIM方法生成功能和同时SIM/SCAN;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>7.3.可设置休眠模式节省气体，唤醒功能可使仪器在设定的时间自行开机预热；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>7.4.谱库：NIST 2020 MS谱库套装包括EI谱库，其中有26.7万个化合物的30.7万幅谱图以及8.2万多个化合物的气相色谱保留指数，带工厂原装光盘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>7.5.品牌电脑，其配置不低于：CPU:(New core 3.2G/8M/65W)/内存：4G(DDR3-1600)/硬盘：500G/光驱：DVD刻录光驱/Linux,21寸液晶宽屏16:9LCD/VGA接口/250nits/1000:1/5ms;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>7.6.配置无管道净气型储藏装置：外部材料采用镀锌板材料，不易腐蚀；元催化降解技术，快速有效降解有机化学气体，面板实时显示药品柜内部温度、湿度、TVOC值以及风机转 速，层板采用复合PP材料，耐强酸强碱，层板间距可调，为确保化学药品的使用安全，采用双门双锁设计，空气处理量：200-230(m3/h),空气更换频率：&gt;180(次/小时);</w:t>
            </w:r>
          </w:p>
        </w:tc>
      </w:tr>
    </w:tbl>
    <w:p/>
    <w:sectPr>
      <w:pgSz w:w="11906" w:h="16838"/>
      <w:pgMar w:top="1440" w:right="1463" w:bottom="1440" w:left="123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wMGEwMDJiZTk0YmQ5MWFiMmViMzRkZWYxNGYyYWQifQ=="/>
  </w:docVars>
  <w:rsids>
    <w:rsidRoot w:val="6FCF71F5"/>
    <w:rsid w:val="6D0325CC"/>
    <w:rsid w:val="6FC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2023-09-28T07:17:00Z</dcterms:created>
  <dc:creator>Administrator</dc:creator>
  <cp:lastModifiedBy>Administrator</cp:lastModifiedBy>
  <dcterms:modified xsi:type="dcterms:W3CDTF">2023-09-28T07:38:39Z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3E841C59166C430C9A211C9AC350DC6F_11</vt:lpwstr>
  </property>
</Properties>
</file>